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на заседании комиссии по координации работы по противодействию коррупции в Нижегородской области</w:t>
      </w:r>
    </w:p>
    <w:p w:rsidR="00000000" w:rsidDel="00000000" w:rsidP="00000000" w:rsidRDefault="00000000" w:rsidRPr="00000000" w14:paraId="00000003">
      <w:pPr>
        <w:shd w:fill="ffffff" w:val="clear"/>
        <w:spacing w:before="480" w:lineRule="auto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(протокол  от  15.07.2016  № 3)  </w:t>
      </w:r>
    </w:p>
    <w:p w:rsidR="00000000" w:rsidDel="00000000" w:rsidP="00000000" w:rsidRDefault="00000000" w:rsidRPr="00000000" w14:paraId="00000004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Дополнение в план работы</w:t>
      </w:r>
    </w:p>
    <w:p w:rsidR="00000000" w:rsidDel="00000000" w:rsidP="00000000" w:rsidRDefault="00000000" w:rsidRPr="00000000" w14:paraId="00000007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комиссии по координации работы по противодействию коррупции в Нижегородской области</w:t>
      </w:r>
    </w:p>
    <w:p w:rsidR="00000000" w:rsidDel="00000000" w:rsidP="00000000" w:rsidRDefault="00000000" w:rsidRPr="00000000" w14:paraId="00000008">
      <w:pPr>
        <w:shd w:fill="ffffff" w:val="clear"/>
        <w:spacing w:before="480" w:lineRule="auto"/>
        <w:jc w:val="center"/>
        <w:rPr>
          <w:b w:val="1"/>
          <w:color w:val="050625"/>
          <w:sz w:val="21"/>
          <w:szCs w:val="21"/>
        </w:rPr>
      </w:pPr>
      <w:r w:rsidDel="00000000" w:rsidR="00000000" w:rsidRPr="00000000">
        <w:rPr>
          <w:b w:val="1"/>
          <w:color w:val="050625"/>
          <w:sz w:val="21"/>
          <w:szCs w:val="21"/>
          <w:rtl w:val="0"/>
        </w:rPr>
        <w:t xml:space="preserve">на 2016 год</w:t>
      </w:r>
    </w:p>
    <w:p w:rsidR="00000000" w:rsidDel="00000000" w:rsidP="00000000" w:rsidRDefault="00000000" w:rsidRPr="00000000" w14:paraId="00000009">
      <w:pPr>
        <w:shd w:fill="ffffff" w:val="clear"/>
        <w:spacing w:before="480" w:lineRule="auto"/>
        <w:jc w:val="right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A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before="480" w:lineRule="auto"/>
        <w:jc w:val="cente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9.0799496960134"/>
        <w:gridCol w:w="6215.942518884021"/>
        <w:gridCol w:w="2350.4893424435886"/>
        <w:tblGridChange w:id="0">
          <w:tblGrid>
            <w:gridCol w:w="459.0799496960134"/>
            <w:gridCol w:w="6215.942518884021"/>
            <w:gridCol w:w="2350.4893424435886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Содержание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Ответственные за подготовку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3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5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результатах анализа полноты и достоверности сведений о доходах, расходах, об имуществе и обязательствах имущественного характера государственных гражданских и муниципальных служащих Нижегородской области за 2015 год.</w:t>
            </w:r>
          </w:p>
          <w:p w:rsidR="00000000" w:rsidDel="00000000" w:rsidP="00000000" w:rsidRDefault="00000000" w:rsidRPr="00000000" w14:paraId="0000001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государственной гражданской и муниципальной службы Нижегородской области</w:t>
            </w:r>
          </w:p>
          <w:p w:rsidR="00000000" w:rsidDel="00000000" w:rsidP="00000000" w:rsidRDefault="00000000" w:rsidRPr="00000000" w14:paraId="00000019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Нижегородской области (по согласованию)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50625"/>
                <w:sz w:val="21"/>
                <w:szCs w:val="21"/>
                <w:rtl w:val="0"/>
              </w:rPr>
              <w:t xml:space="preserve">4 квартал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6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 состоянии работы по выявлению случаев несоблюдения государственными гражданскими и муниципальными служащими и лицами, замещающими государственные должности и должности муниципальной службы Нижегородской области,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коррупции, и мерах по ее совершенствованию.</w:t>
            </w:r>
          </w:p>
          <w:p w:rsidR="00000000" w:rsidDel="00000000" w:rsidP="00000000" w:rsidRDefault="00000000" w:rsidRPr="00000000" w14:paraId="00000020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государственной гражданской и муниципальной службы Нижегородской области</w:t>
            </w:r>
          </w:p>
          <w:p w:rsidR="00000000" w:rsidDel="00000000" w:rsidP="00000000" w:rsidRDefault="00000000" w:rsidRPr="00000000" w14:paraId="00000022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Прокуратура Нижегородской области (по согласованию)</w:t>
            </w:r>
          </w:p>
          <w:p w:rsidR="00000000" w:rsidDel="00000000" w:rsidP="00000000" w:rsidRDefault="00000000" w:rsidRPr="00000000" w14:paraId="00000024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100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Итоги выполнения плана реализации государственной программы «Обеспечение общественного порядка и противодействие преступности в Нижегородской области» на 2016 год и плановый период 2017-2018 годов, утвержденной постановлением Правительства Нижегородской области от 31.12.2014 № 981, (Основное мероприятие 9) за 2016 год.</w:t>
            </w:r>
          </w:p>
          <w:p w:rsidR="00000000" w:rsidDel="00000000" w:rsidP="00000000" w:rsidRDefault="00000000" w:rsidRPr="00000000" w14:paraId="00000027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Управление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29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ОИВ Нижегородской области (предоставление нформации)</w:t>
            </w:r>
          </w:p>
          <w:p w:rsidR="00000000" w:rsidDel="00000000" w:rsidP="00000000" w:rsidRDefault="00000000" w:rsidRPr="00000000" w14:paraId="0000002B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ОМСУ Нижегородской области (предоставление информации – при условии участия в Программе)</w:t>
            </w:r>
          </w:p>
          <w:p w:rsidR="00000000" w:rsidDel="00000000" w:rsidP="00000000" w:rsidRDefault="00000000" w:rsidRPr="00000000" w14:paraId="0000002D">
            <w:pPr>
              <w:spacing w:before="480" w:lineRule="auto"/>
              <w:rPr>
                <w:color w:val="050625"/>
                <w:sz w:val="21"/>
                <w:szCs w:val="21"/>
              </w:rPr>
            </w:pPr>
            <w:r w:rsidDel="00000000" w:rsidR="00000000" w:rsidRPr="00000000">
              <w:rPr>
                <w:color w:val="050625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rPr>
          <w:color w:val="050625"/>
          <w:sz w:val="21"/>
          <w:szCs w:val="21"/>
        </w:rPr>
      </w:pPr>
      <w:r w:rsidDel="00000000" w:rsidR="00000000" w:rsidRPr="00000000">
        <w:rPr>
          <w:color w:val="05062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color w:val="050625"/>
          <w:sz w:val="9"/>
          <w:szCs w:val="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