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Утвержден</w:t>
      </w:r>
    </w:p>
    <w:p w:rsidR="00000000" w:rsidDel="00000000" w:rsidP="00000000" w:rsidRDefault="00000000" w:rsidRPr="00000000" w14:paraId="00000002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на заседании комиссии по координации работы по противодействию коррупции в Нижегородской области</w:t>
      </w:r>
    </w:p>
    <w:p w:rsidR="00000000" w:rsidDel="00000000" w:rsidP="00000000" w:rsidRDefault="00000000" w:rsidRPr="00000000" w14:paraId="00000003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(протокол  от  24.12.2015  № 1)  </w:t>
      </w:r>
    </w:p>
    <w:p w:rsidR="00000000" w:rsidDel="00000000" w:rsidP="00000000" w:rsidRDefault="00000000" w:rsidRPr="00000000" w14:paraId="00000004">
      <w:pPr>
        <w:shd w:fill="ffffff" w:val="clear"/>
        <w:spacing w:before="480" w:lineRule="auto"/>
        <w:jc w:val="center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before="480" w:lineRule="auto"/>
        <w:jc w:val="center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before="480" w:lineRule="auto"/>
        <w:jc w:val="center"/>
        <w:rPr>
          <w:b w:val="1"/>
          <w:color w:val="050625"/>
          <w:sz w:val="21"/>
          <w:szCs w:val="21"/>
        </w:rPr>
      </w:pPr>
      <w:r w:rsidDel="00000000" w:rsidR="00000000" w:rsidRPr="00000000">
        <w:rPr>
          <w:b w:val="1"/>
          <w:color w:val="050625"/>
          <w:sz w:val="21"/>
          <w:szCs w:val="21"/>
          <w:rtl w:val="0"/>
        </w:rPr>
        <w:t xml:space="preserve">План работы</w:t>
      </w:r>
    </w:p>
    <w:p w:rsidR="00000000" w:rsidDel="00000000" w:rsidP="00000000" w:rsidRDefault="00000000" w:rsidRPr="00000000" w14:paraId="00000007">
      <w:pPr>
        <w:shd w:fill="ffffff" w:val="clear"/>
        <w:spacing w:before="480" w:lineRule="auto"/>
        <w:jc w:val="center"/>
        <w:rPr>
          <w:b w:val="1"/>
          <w:color w:val="050625"/>
          <w:sz w:val="21"/>
          <w:szCs w:val="21"/>
        </w:rPr>
      </w:pPr>
      <w:r w:rsidDel="00000000" w:rsidR="00000000" w:rsidRPr="00000000">
        <w:rPr>
          <w:b w:val="1"/>
          <w:color w:val="050625"/>
          <w:sz w:val="21"/>
          <w:szCs w:val="21"/>
          <w:rtl w:val="0"/>
        </w:rPr>
        <w:t xml:space="preserve">комиссии по координации работы по противодействию коррупции в Нижегородской области</w:t>
      </w:r>
    </w:p>
    <w:p w:rsidR="00000000" w:rsidDel="00000000" w:rsidP="00000000" w:rsidRDefault="00000000" w:rsidRPr="00000000" w14:paraId="00000008">
      <w:pPr>
        <w:shd w:fill="ffffff" w:val="clear"/>
        <w:spacing w:before="480" w:lineRule="auto"/>
        <w:jc w:val="center"/>
        <w:rPr>
          <w:b w:val="1"/>
          <w:color w:val="050625"/>
          <w:sz w:val="21"/>
          <w:szCs w:val="21"/>
        </w:rPr>
      </w:pPr>
      <w:r w:rsidDel="00000000" w:rsidR="00000000" w:rsidRPr="00000000">
        <w:rPr>
          <w:b w:val="1"/>
          <w:color w:val="050625"/>
          <w:sz w:val="21"/>
          <w:szCs w:val="21"/>
          <w:rtl w:val="0"/>
        </w:rPr>
        <w:t xml:space="preserve">на 2016 год</w:t>
      </w:r>
    </w:p>
    <w:p w:rsidR="00000000" w:rsidDel="00000000" w:rsidP="00000000" w:rsidRDefault="00000000" w:rsidRPr="00000000" w14:paraId="00000009">
      <w:pPr>
        <w:shd w:fill="ffffff" w:val="clear"/>
        <w:spacing w:before="480" w:lineRule="auto"/>
        <w:jc w:val="right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                              </w:t>
      </w:r>
    </w:p>
    <w:p w:rsidR="00000000" w:rsidDel="00000000" w:rsidP="00000000" w:rsidRDefault="00000000" w:rsidRPr="00000000" w14:paraId="0000000A">
      <w:pPr>
        <w:shd w:fill="ffffff" w:val="clear"/>
        <w:spacing w:before="480" w:lineRule="auto"/>
        <w:jc w:val="center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before="480" w:lineRule="auto"/>
        <w:jc w:val="center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8.6134050316881"/>
        <w:gridCol w:w="6292.175917034761"/>
        <w:gridCol w:w="2274.722488957173"/>
        <w:tblGridChange w:id="0">
          <w:tblGrid>
            <w:gridCol w:w="458.6134050316881"/>
            <w:gridCol w:w="6292.175917034761"/>
            <w:gridCol w:w="2274.722488957173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Содержание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Ответственные за подготовку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3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before="480" w:lineRule="auto"/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1 квартал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131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мониторинге открытости официального сайта Правительства Нижегородской области, официальных сайтов органов исполнительной власти и органов местного самоуправления Нижегородской области и принимаемых мерах по повышению информационной открытости деятельности органов исполнительной власти и органов местного самоуправления Нижегородской области.</w:t>
            </w:r>
          </w:p>
          <w:p w:rsidR="00000000" w:rsidDel="00000000" w:rsidP="00000000" w:rsidRDefault="00000000" w:rsidRPr="00000000" w14:paraId="00000018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Минэкономики (в части организации работы по уведомлению ОИВ о замечаниях в рамках федерального мониторинга открытости официального сайта Правительства Нижегородской области)</w:t>
            </w:r>
          </w:p>
          <w:p w:rsidR="00000000" w:rsidDel="00000000" w:rsidP="00000000" w:rsidRDefault="00000000" w:rsidRPr="00000000" w14:paraId="0000001A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Мининформ  (в части мониторинга сайтов ОИВ)</w:t>
            </w:r>
          </w:p>
          <w:p w:rsidR="00000000" w:rsidDel="00000000" w:rsidP="00000000" w:rsidRDefault="00000000" w:rsidRPr="00000000" w14:paraId="0000001B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УГГ и МС, УРБ (в части мониторинга раздела «Противодействие коррупции сайтов ОИВ, ОМСУ)</w:t>
            </w:r>
          </w:p>
          <w:p w:rsidR="00000000" w:rsidDel="00000000" w:rsidP="00000000" w:rsidRDefault="00000000" w:rsidRPr="00000000" w14:paraId="0000001C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Минвнутрполитики (в части мониторинга сайтов ОМСУ)</w:t>
            </w:r>
          </w:p>
          <w:p w:rsidR="00000000" w:rsidDel="00000000" w:rsidP="00000000" w:rsidRDefault="00000000" w:rsidRPr="00000000" w14:paraId="0000001D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ОИВ, ОМСУ (предоставление информации)</w:t>
            </w:r>
          </w:p>
          <w:p w:rsidR="00000000" w:rsidDel="00000000" w:rsidP="00000000" w:rsidRDefault="00000000" w:rsidRPr="00000000" w14:paraId="0000001E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3</w:t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реализации антикоррупционной политики на территории городского округа город Нижний Новгород, в том числе об организации работы в муниципальных учреждениях по принятию мер по предупреждению коррупции (в соответствии со ст.13.3 ФЗ от 25.12.2008 № 273-ФЗ</w:t>
              <w:br w:type="textWrapping"/>
              <w:t xml:space="preserve">«О противодействии коррупции»).</w:t>
            </w:r>
          </w:p>
          <w:p w:rsidR="00000000" w:rsidDel="00000000" w:rsidP="00000000" w:rsidRDefault="00000000" w:rsidRPr="00000000" w14:paraId="00000024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городской округ г.Н.Новгород</w:t>
            </w:r>
          </w:p>
          <w:p w:rsidR="00000000" w:rsidDel="00000000" w:rsidP="00000000" w:rsidRDefault="00000000" w:rsidRPr="00000000" w14:paraId="00000026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Минвнутрполитики</w:t>
            </w:r>
          </w:p>
          <w:p w:rsidR="00000000" w:rsidDel="00000000" w:rsidP="00000000" w:rsidRDefault="00000000" w:rsidRPr="00000000" w14:paraId="00000027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УГГиМС</w:t>
            </w:r>
          </w:p>
          <w:p w:rsidR="00000000" w:rsidDel="00000000" w:rsidP="00000000" w:rsidRDefault="00000000" w:rsidRPr="00000000" w14:paraId="00000028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Об итогах реализации антикоррупционной политики и результатах проведения антикоррупционного мониторинга на территории Нижегородской области в 2015 году.</w:t>
            </w:r>
          </w:p>
          <w:p w:rsidR="00000000" w:rsidDel="00000000" w:rsidP="00000000" w:rsidRDefault="00000000" w:rsidRPr="00000000" w14:paraId="0000002B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УРБ</w:t>
            </w:r>
          </w:p>
          <w:p w:rsidR="00000000" w:rsidDel="00000000" w:rsidP="00000000" w:rsidRDefault="00000000" w:rsidRPr="00000000" w14:paraId="0000002D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Минвнутрполитики (предоставление данных по результатам соц.исследований)</w:t>
            </w:r>
          </w:p>
          <w:p w:rsidR="00000000" w:rsidDel="00000000" w:rsidP="00000000" w:rsidRDefault="00000000" w:rsidRPr="00000000" w14:paraId="0000002E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Органы власти (предоставление информации)</w:t>
            </w:r>
          </w:p>
          <w:p w:rsidR="00000000" w:rsidDel="00000000" w:rsidP="00000000" w:rsidRDefault="00000000" w:rsidRPr="00000000" w14:paraId="0000002F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ОМСУ (предоставление информации)</w:t>
            </w:r>
          </w:p>
          <w:p w:rsidR="00000000" w:rsidDel="00000000" w:rsidP="00000000" w:rsidRDefault="00000000" w:rsidRPr="00000000" w14:paraId="00000030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2 квартал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54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принимаемых мерах по совершенствованию законодательства РФ о противодействии коррупции, нормативных правовых актов Нижегородской области в целях устранения несовершенства правовых норм, допускающих возможность порождения коррупции или способствующих ее распространению.</w:t>
            </w:r>
          </w:p>
          <w:p w:rsidR="00000000" w:rsidDel="00000000" w:rsidP="00000000" w:rsidRDefault="00000000" w:rsidRPr="00000000" w14:paraId="00000036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ГУ Минюста</w:t>
            </w:r>
          </w:p>
          <w:p w:rsidR="00000000" w:rsidDel="00000000" w:rsidP="00000000" w:rsidRDefault="00000000" w:rsidRPr="00000000" w14:paraId="00000038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ГПД Нижегородской области</w:t>
            </w:r>
          </w:p>
          <w:p w:rsidR="00000000" w:rsidDel="00000000" w:rsidP="00000000" w:rsidRDefault="00000000" w:rsidRPr="00000000" w14:paraId="00000039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Прокуратура (по согласованию)</w:t>
            </w:r>
          </w:p>
          <w:p w:rsidR="00000000" w:rsidDel="00000000" w:rsidP="00000000" w:rsidRDefault="00000000" w:rsidRPr="00000000" w14:paraId="0000003A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реализации антикоррупционной политики на территории Балахнинского муниципального района Нижегородской области, в том числе об организации работы в муниципальных учреждениях по принятию мер по предупреждению коррупции (в соответствии со ст.13.3 ФЗ от 25.12.2008</w:t>
              <w:br w:type="textWrapping"/>
              <w:t xml:space="preserve">№ 273-ФЗ «О противодействии коррупции»).</w:t>
            </w:r>
          </w:p>
          <w:p w:rsidR="00000000" w:rsidDel="00000000" w:rsidP="00000000" w:rsidRDefault="00000000" w:rsidRPr="00000000" w14:paraId="0000003F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Балахнинский район</w:t>
            </w:r>
          </w:p>
          <w:p w:rsidR="00000000" w:rsidDel="00000000" w:rsidP="00000000" w:rsidRDefault="00000000" w:rsidRPr="00000000" w14:paraId="00000041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Минвнутрполитики</w:t>
            </w:r>
          </w:p>
          <w:p w:rsidR="00000000" w:rsidDel="00000000" w:rsidP="00000000" w:rsidRDefault="00000000" w:rsidRPr="00000000" w14:paraId="00000042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УГГиМС</w:t>
            </w:r>
          </w:p>
          <w:p w:rsidR="00000000" w:rsidDel="00000000" w:rsidP="00000000" w:rsidRDefault="00000000" w:rsidRPr="00000000" w14:paraId="00000043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ГУ МВД</w:t>
            </w:r>
          </w:p>
        </w:tc>
      </w:tr>
      <w:tr>
        <w:trPr>
          <w:cantSplit w:val="0"/>
          <w:trHeight w:val="6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45">
            <w:pPr>
              <w:spacing w:before="480" w:lineRule="auto"/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before="480" w:lineRule="auto"/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before="480" w:lineRule="auto"/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before="480" w:lineRule="auto"/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spacing w:before="480" w:lineRule="auto"/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before="480" w:lineRule="auto"/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before="480" w:lineRule="auto"/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проверке полноты и достоверности представленных сведений о доходах, расходах, об имуществе и обязательствах имущественного характера государственных гражданских и муниципальных служащих Нижегородской области за 2015 год и о результатах исполнения требований  ФЗ от 03.11.2015 № 303-ФЗ «О внесении изменений в отдельные законодательные акты Российской Федерации».</w:t>
            </w:r>
          </w:p>
          <w:p w:rsidR="00000000" w:rsidDel="00000000" w:rsidP="00000000" w:rsidRDefault="00000000" w:rsidRPr="00000000" w14:paraId="0000004D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УГГиМС</w:t>
            </w:r>
          </w:p>
          <w:p w:rsidR="00000000" w:rsidDel="00000000" w:rsidP="00000000" w:rsidRDefault="00000000" w:rsidRPr="00000000" w14:paraId="0000004F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Прокуратура (по согласованию)</w:t>
            </w:r>
          </w:p>
          <w:p w:rsidR="00000000" w:rsidDel="00000000" w:rsidP="00000000" w:rsidRDefault="00000000" w:rsidRPr="00000000" w14:paraId="00000050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pacing w:before="480" w:lineRule="auto"/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3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before="480" w:lineRule="auto"/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3 квартал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состоянии работы по противодействию коррупции в органах и учреждениях сферы здравоохранения и мерах, принимаемых для повышения ее эффективности.</w:t>
            </w:r>
          </w:p>
          <w:p w:rsidR="00000000" w:rsidDel="00000000" w:rsidP="00000000" w:rsidRDefault="00000000" w:rsidRPr="00000000" w14:paraId="0000005E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Минздравохранения</w:t>
            </w:r>
          </w:p>
          <w:p w:rsidR="00000000" w:rsidDel="00000000" w:rsidP="00000000" w:rsidRDefault="00000000" w:rsidRPr="00000000" w14:paraId="00000060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ГУ МВД (по согласованию)</w:t>
            </w:r>
          </w:p>
          <w:p w:rsidR="00000000" w:rsidDel="00000000" w:rsidP="00000000" w:rsidRDefault="00000000" w:rsidRPr="00000000" w14:paraId="00000061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Прокуратура (по согласованию)</w:t>
            </w:r>
          </w:p>
          <w:p w:rsidR="00000000" w:rsidDel="00000000" w:rsidP="00000000" w:rsidRDefault="00000000" w:rsidRPr="00000000" w14:paraId="00000062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27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состоянии и мерах по повышению эффективности взаимодействия органов исполнительной власти и органов местного самоуправления Нижегородской области с институтами гражданского общества по вопросам антикоррупционной деятельности.</w:t>
            </w:r>
          </w:p>
          <w:p w:rsidR="00000000" w:rsidDel="00000000" w:rsidP="00000000" w:rsidRDefault="00000000" w:rsidRPr="00000000" w14:paraId="00000065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Минвнутрполитики</w:t>
            </w:r>
          </w:p>
          <w:p w:rsidR="00000000" w:rsidDel="00000000" w:rsidP="00000000" w:rsidRDefault="00000000" w:rsidRPr="00000000" w14:paraId="00000067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Общественная палата</w:t>
            </w:r>
          </w:p>
        </w:tc>
      </w:tr>
      <w:tr>
        <w:trPr>
          <w:cantSplit w:val="0"/>
          <w:trHeight w:val="3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результатах совместной работы следственного управления Следственного комитета России по Нижегородской области и Главного управления МВД России по Нижегородской области по выявлению и расследованию преступлений коррупционной направленности, совершенных должностными лицами органов местного самоуправления Нижегородской области.</w:t>
            </w:r>
          </w:p>
          <w:p w:rsidR="00000000" w:rsidDel="00000000" w:rsidP="00000000" w:rsidRDefault="00000000" w:rsidRPr="00000000" w14:paraId="0000006A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СУ СК</w:t>
            </w:r>
          </w:p>
          <w:p w:rsidR="00000000" w:rsidDel="00000000" w:rsidP="00000000" w:rsidRDefault="00000000" w:rsidRPr="00000000" w14:paraId="0000006C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ГУ МВД</w:t>
            </w:r>
          </w:p>
        </w:tc>
      </w:tr>
      <w:tr>
        <w:trPr>
          <w:cantSplit w:val="0"/>
          <w:trHeight w:val="4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spacing w:before="480" w:lineRule="auto"/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реализации антикоррупционной политики на территории городского округа город Арзамас Нижегородской области, в том числе об организации работы в муниципальных учреждениях по принятию мер по предупреждению коррупции (в соответствии со ст.13.3 ФЗ от 25.12.2008</w:t>
              <w:br w:type="textWrapping"/>
              <w:t xml:space="preserve">№ 273-ФЗ «О противодействии коррупции»).</w:t>
            </w:r>
          </w:p>
          <w:p w:rsidR="00000000" w:rsidDel="00000000" w:rsidP="00000000" w:rsidRDefault="00000000" w:rsidRPr="00000000" w14:paraId="00000071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городской округ г.Арзамас</w:t>
            </w:r>
          </w:p>
          <w:p w:rsidR="00000000" w:rsidDel="00000000" w:rsidP="00000000" w:rsidRDefault="00000000" w:rsidRPr="00000000" w14:paraId="00000074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Минвнутрполитики</w:t>
            </w:r>
          </w:p>
          <w:p w:rsidR="00000000" w:rsidDel="00000000" w:rsidP="00000000" w:rsidRDefault="00000000" w:rsidRPr="00000000" w14:paraId="00000075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УГГиМС</w:t>
            </w:r>
          </w:p>
          <w:p w:rsidR="00000000" w:rsidDel="00000000" w:rsidP="00000000" w:rsidRDefault="00000000" w:rsidRPr="00000000" w14:paraId="00000076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spacing w:before="480" w:lineRule="auto"/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4 квартал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Особенности противодействия коррупции и проводимые мероприятия в Управлении Федеральной службы государственной регистрации, кадастра и картографии по Нижегородской области.</w:t>
            </w:r>
          </w:p>
          <w:p w:rsidR="00000000" w:rsidDel="00000000" w:rsidP="00000000" w:rsidRDefault="00000000" w:rsidRPr="00000000" w14:paraId="0000007D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Росреестр</w:t>
            </w:r>
          </w:p>
          <w:p w:rsidR="00000000" w:rsidDel="00000000" w:rsidP="00000000" w:rsidRDefault="00000000" w:rsidRPr="00000000" w14:paraId="0000007F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58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мерах по противодействию коррупции в сфере жилищно-коммунального хозяйства, а также о мерах по контролю за применением установленных цен (тарифов) в сфере жилищно-коммунального хозяйства в Нижегородской области.</w:t>
            </w:r>
          </w:p>
          <w:p w:rsidR="00000000" w:rsidDel="00000000" w:rsidP="00000000" w:rsidRDefault="00000000" w:rsidRPr="00000000" w14:paraId="00000084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Минстроительства ЖКХ и ТЭК</w:t>
            </w:r>
          </w:p>
          <w:p w:rsidR="00000000" w:rsidDel="00000000" w:rsidP="00000000" w:rsidRDefault="00000000" w:rsidRPr="00000000" w14:paraId="0000008A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Служба по тарифам</w:t>
            </w:r>
          </w:p>
          <w:p w:rsidR="00000000" w:rsidDel="00000000" w:rsidP="00000000" w:rsidRDefault="00000000" w:rsidRPr="00000000" w14:paraId="0000008B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ГУ МВД</w:t>
            </w:r>
          </w:p>
          <w:p w:rsidR="00000000" w:rsidDel="00000000" w:rsidP="00000000" w:rsidRDefault="00000000" w:rsidRPr="00000000" w14:paraId="0000008C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Прокуратура (по согласованию)</w:t>
            </w:r>
          </w:p>
          <w:p w:rsidR="00000000" w:rsidDel="00000000" w:rsidP="00000000" w:rsidRDefault="00000000" w:rsidRPr="00000000" w14:paraId="0000008D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3</w:t>
            </w:r>
          </w:p>
        </w:tc>
      </w:tr>
      <w:tr>
        <w:trPr>
          <w:cantSplit w:val="0"/>
          <w:trHeight w:val="4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spacing w:before="480" w:lineRule="auto"/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реализации антикоррупционной политики на территории города Кстово     </w:t>
              <w:tab/>
              <w:t xml:space="preserve">                   Нижегородской области, в том числе об организации работы в муниципальных учреждениях по принятию мер по предупреждению коррупции (в соответствии со ст.13.3 ФЗ от 25.12.2008</w:t>
              <w:br w:type="textWrapping"/>
              <w:t xml:space="preserve">№ 273-ФЗ «О противодействии коррупции»).</w:t>
            </w:r>
          </w:p>
          <w:p w:rsidR="00000000" w:rsidDel="00000000" w:rsidP="00000000" w:rsidRDefault="00000000" w:rsidRPr="00000000" w14:paraId="00000095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администрация г.Кстово</w:t>
            </w:r>
          </w:p>
          <w:p w:rsidR="00000000" w:rsidDel="00000000" w:rsidP="00000000" w:rsidRDefault="00000000" w:rsidRPr="00000000" w14:paraId="00000098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Минвнутрполитики</w:t>
            </w:r>
          </w:p>
          <w:p w:rsidR="00000000" w:rsidDel="00000000" w:rsidP="00000000" w:rsidRDefault="00000000" w:rsidRPr="00000000" w14:paraId="00000099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УГГиМС</w:t>
            </w:r>
          </w:p>
          <w:p w:rsidR="00000000" w:rsidDel="00000000" w:rsidP="00000000" w:rsidRDefault="00000000" w:rsidRPr="00000000" w14:paraId="0000009A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деятельности комиссии по координации работы по противодействию коррупции в Нижегородской области  в 2016 году и проекте плана работы на 2017 год.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УРБ</w:t>
            </w:r>
          </w:p>
          <w:p w:rsidR="00000000" w:rsidDel="00000000" w:rsidP="00000000" w:rsidRDefault="00000000" w:rsidRPr="00000000" w14:paraId="0000009E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Органы власти</w:t>
            </w:r>
          </w:p>
          <w:p w:rsidR="00000000" w:rsidDel="00000000" w:rsidP="00000000" w:rsidRDefault="00000000" w:rsidRPr="00000000" w14:paraId="0000009F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ОМСУ</w:t>
            </w:r>
          </w:p>
          <w:p w:rsidR="00000000" w:rsidDel="00000000" w:rsidP="00000000" w:rsidRDefault="00000000" w:rsidRPr="00000000" w14:paraId="000000A0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1">
      <w:pPr>
        <w:shd w:fill="ffffff" w:val="clear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2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3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4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5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6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7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8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A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B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C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E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0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1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2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3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4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5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6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7.68144377123005"/>
        <w:gridCol w:w="2714.5886237326813"/>
        <w:gridCol w:w="148.60886626273805"/>
        <w:gridCol w:w="3804.3869763260936"/>
        <w:gridCol w:w="961.0040018323725"/>
        <w:gridCol w:w="1149.2418990985075"/>
        <w:tblGridChange w:id="0">
          <w:tblGrid>
            <w:gridCol w:w="247.68144377123005"/>
            <w:gridCol w:w="2714.5886237326813"/>
            <w:gridCol w:w="148.60886626273805"/>
            <w:gridCol w:w="3804.3869763260936"/>
            <w:gridCol w:w="961.0040018323725"/>
            <w:gridCol w:w="1149.2418990985075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spacing w:before="480" w:lineRule="auto"/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spacing w:before="480" w:lineRule="auto"/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Сокращения, употребляемые в тексте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ГПД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Государственно-правовой департамент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ГУ МВД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Главное управление Министерства внутренних дел Российской Федерации по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ГУ Минюста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Главное управление Министерства юстиции Российской Федерации по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Минвнутрполитики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министерство внутренней региональной и муниципальной политики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Мининформ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министерство информационных технологий, связи и средств массовой информации Нижегородской области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Минздрав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министерство здравоохранения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Минстроительства ЖКХ и ТЭК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министерство строительства, жилищно-коммунального хозяйства и топливно-энергетического комплекса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ОМСУ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органы местного самоуправления муниципальных районов и городских округов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Органы власти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органы государственной власти Нижегородской области, территориальные органы федеральных органов исполнительной власти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Прокуратура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прокуратура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Росреестр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СУ СК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следственное управление Следственного комитета Российской Федерации по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УГГиМС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управление государственной гражданской и муниципальной службы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УРБ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управление региональной безопасности и мобилизационной подготовки Нижегородской области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Служба по тарифам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–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региональная служба по тарифам Нижегородской области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color w:val="333333"/>
          <w:sz w:val="17"/>
          <w:szCs w:val="17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