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 xml:space="preserve">Пояснительная записка </w:t>
      </w:r>
    </w:p>
    <w:p>
      <w:pPr>
        <w:spacing w:line="240" w:lineRule="auto"/>
        <w:jc w:val="center"/>
        <w:rPr>
          <w:rFonts w:hint="default" w:ascii="Times New Roman" w:hAnsi="Times New Roman" w:cs="Times New Roman"/>
          <w:b/>
          <w:bCs w:val="0"/>
          <w:sz w:val="28"/>
          <w:szCs w:val="28"/>
          <w:highlight w:val="none"/>
          <w:lang w:val="ru-RU"/>
        </w:rPr>
      </w:pPr>
      <w:r>
        <w:rPr>
          <w:rFonts w:hint="default" w:ascii="Times New Roman" w:hAnsi="Times New Roman" w:cs="Times New Roman"/>
          <w:b/>
          <w:sz w:val="28"/>
          <w:szCs w:val="28"/>
        </w:rPr>
        <w:t>к проекту постановления</w:t>
      </w:r>
      <w:r>
        <w:rPr>
          <w:rFonts w:hint="default" w:ascii="Times New Roman" w:hAnsi="Times New Roman" w:cs="Times New Roman"/>
          <w:b/>
          <w:bCs w:val="0"/>
          <w:sz w:val="28"/>
          <w:szCs w:val="28"/>
        </w:rPr>
        <w:t xml:space="preserve"> </w:t>
      </w:r>
      <w:r>
        <w:rPr>
          <w:rFonts w:hint="default" w:ascii="Times New Roman" w:hAnsi="Times New Roman" w:cs="Times New Roman"/>
          <w:b/>
          <w:bCs w:val="0"/>
          <w:sz w:val="28"/>
          <w:szCs w:val="28"/>
          <w:lang w:val="ru-RU"/>
        </w:rPr>
        <w:t>«</w:t>
      </w:r>
      <w:r>
        <w:rPr>
          <w:rFonts w:hint="default" w:ascii="Times New Roman" w:hAnsi="Times New Roman" w:cs="Times New Roman"/>
          <w:b/>
          <w:bCs w:val="0"/>
          <w:sz w:val="28"/>
          <w:szCs w:val="28"/>
        </w:rPr>
        <w:t xml:space="preserve">Об определении </w:t>
      </w:r>
      <w:r>
        <w:rPr>
          <w:rFonts w:hint="default" w:ascii="Times New Roman" w:hAnsi="Times New Roman" w:cs="Times New Roman"/>
          <w:b/>
          <w:bCs w:val="0"/>
          <w:sz w:val="28"/>
          <w:szCs w:val="28"/>
          <w:lang w:val="ru-RU"/>
        </w:rPr>
        <w:t xml:space="preserve">границ </w:t>
      </w:r>
      <w:r>
        <w:rPr>
          <w:rFonts w:hint="default" w:ascii="Times New Roman" w:hAnsi="Times New Roman" w:cs="Times New Roman"/>
          <w:b/>
          <w:bCs w:val="0"/>
          <w:sz w:val="28"/>
          <w:szCs w:val="28"/>
        </w:rPr>
        <w:t>прилегающих территорий</w:t>
      </w:r>
      <w:r>
        <w:rPr>
          <w:rFonts w:hint="default" w:ascii="Times New Roman" w:hAnsi="Times New Roman" w:cs="Times New Roman"/>
          <w:b/>
          <w:bCs w:val="0"/>
          <w:sz w:val="28"/>
          <w:szCs w:val="28"/>
          <w:lang w:val="ru-RU"/>
        </w:rPr>
        <w:t>, на которых</w:t>
      </w:r>
      <w:r>
        <w:rPr>
          <w:rFonts w:hint="default" w:ascii="Times New Roman" w:hAnsi="Times New Roman" w:cs="Times New Roman"/>
          <w:b/>
          <w:bCs w:val="0"/>
          <w:sz w:val="28"/>
          <w:szCs w:val="28"/>
        </w:rPr>
        <w:t xml:space="preserve"> </w:t>
      </w:r>
      <w:r>
        <w:rPr>
          <w:rFonts w:hint="default" w:ascii="Times New Roman" w:hAnsi="Times New Roman" w:cs="Times New Roman"/>
          <w:b/>
          <w:bCs w:val="0"/>
          <w:sz w:val="28"/>
          <w:szCs w:val="28"/>
          <w:lang w:val="ru-RU"/>
        </w:rPr>
        <w:t>не</w:t>
      </w:r>
      <w:r>
        <w:rPr>
          <w:rFonts w:hint="default" w:ascii="Times New Roman" w:hAnsi="Times New Roman" w:cs="Times New Roman"/>
          <w:b/>
          <w:bCs w:val="0"/>
          <w:sz w:val="28"/>
          <w:szCs w:val="28"/>
        </w:rPr>
        <w:t xml:space="preserve"> </w:t>
      </w:r>
      <w:r>
        <w:rPr>
          <w:rFonts w:hint="default" w:ascii="Times New Roman" w:hAnsi="Times New Roman" w:cs="Times New Roman"/>
          <w:b/>
          <w:bCs w:val="0"/>
          <w:sz w:val="28"/>
          <w:szCs w:val="28"/>
          <w:lang w:val="ru-RU"/>
        </w:rPr>
        <w:t>допускается</w:t>
      </w:r>
      <w:r>
        <w:rPr>
          <w:rFonts w:hint="default" w:ascii="Times New Roman" w:hAnsi="Times New Roman" w:cs="Times New Roman"/>
          <w:b/>
          <w:bCs w:val="0"/>
          <w:sz w:val="28"/>
          <w:szCs w:val="28"/>
        </w:rPr>
        <w:t xml:space="preserve"> розничн</w:t>
      </w:r>
      <w:r>
        <w:rPr>
          <w:rFonts w:hint="default" w:ascii="Times New Roman" w:hAnsi="Times New Roman" w:cs="Times New Roman"/>
          <w:b/>
          <w:bCs w:val="0"/>
          <w:sz w:val="28"/>
          <w:szCs w:val="28"/>
          <w:lang w:val="ru-RU"/>
        </w:rPr>
        <w:t>ая</w:t>
      </w:r>
      <w:r>
        <w:rPr>
          <w:rFonts w:hint="default" w:ascii="Times New Roman" w:hAnsi="Times New Roman" w:cs="Times New Roman"/>
          <w:b/>
          <w:bCs w:val="0"/>
          <w:sz w:val="28"/>
          <w:szCs w:val="28"/>
        </w:rPr>
        <w:t xml:space="preserve"> торговл</w:t>
      </w:r>
      <w:r>
        <w:rPr>
          <w:rFonts w:hint="default" w:ascii="Times New Roman" w:hAnsi="Times New Roman" w:cs="Times New Roman"/>
          <w:b/>
          <w:bCs w:val="0"/>
          <w:sz w:val="28"/>
          <w:szCs w:val="28"/>
          <w:lang w:val="ru-RU"/>
        </w:rPr>
        <w:t>я</w:t>
      </w:r>
      <w:r>
        <w:rPr>
          <w:rFonts w:hint="default" w:ascii="Times New Roman" w:hAnsi="Times New Roman" w:cs="Times New Roman"/>
          <w:b/>
          <w:bCs w:val="0"/>
          <w:sz w:val="28"/>
          <w:szCs w:val="28"/>
        </w:rPr>
        <w:t xml:space="preserve"> табачной</w:t>
      </w:r>
      <w:r>
        <w:rPr>
          <w:rFonts w:hint="default" w:ascii="Times New Roman" w:hAnsi="Times New Roman" w:cs="Times New Roman"/>
          <w:b/>
          <w:bCs w:val="0"/>
          <w:sz w:val="28"/>
          <w:szCs w:val="28"/>
          <w:lang w:val="ru-RU"/>
        </w:rPr>
        <w:t xml:space="preserve"> продукцией</w:t>
      </w:r>
      <w:r>
        <w:rPr>
          <w:rFonts w:hint="default" w:ascii="Times New Roman" w:hAnsi="Times New Roman" w:cs="Times New Roman"/>
          <w:b/>
          <w:bCs w:val="0"/>
          <w:sz w:val="28"/>
          <w:szCs w:val="28"/>
        </w:rPr>
        <w:t xml:space="preserve"> и</w:t>
      </w:r>
      <w:r>
        <w:rPr>
          <w:rFonts w:hint="default" w:ascii="Times New Roman" w:hAnsi="Times New Roman" w:cs="Times New Roman"/>
          <w:b/>
          <w:bCs w:val="0"/>
          <w:sz w:val="28"/>
          <w:szCs w:val="28"/>
          <w:lang w:val="ru-RU"/>
        </w:rPr>
        <w:t>ли</w:t>
      </w:r>
      <w:r>
        <w:rPr>
          <w:rFonts w:hint="default" w:ascii="Times New Roman" w:hAnsi="Times New Roman" w:cs="Times New Roman"/>
          <w:b/>
          <w:bCs w:val="0"/>
          <w:sz w:val="28"/>
          <w:szCs w:val="28"/>
        </w:rPr>
        <w:t xml:space="preserve"> никотинсодержащей продукцией, кальянами и устройствами для потребления никотинсодержащей продукции на территории Богородского муниципального округа Нижегородской области</w:t>
      </w:r>
      <w:r>
        <w:rPr>
          <w:rFonts w:hint="default" w:ascii="Times New Roman" w:hAnsi="Times New Roman" w:cs="Times New Roman"/>
          <w:b/>
          <w:bCs w:val="0"/>
          <w:sz w:val="28"/>
          <w:szCs w:val="28"/>
          <w:highlight w:val="none"/>
          <w:lang w:val="ru-RU"/>
        </w:rPr>
        <w:t>»</w:t>
      </w:r>
      <w:r>
        <w:rPr>
          <w:rFonts w:hint="default" w:ascii="Times New Roman" w:hAnsi="Times New Roman" w:cs="Times New Roman"/>
          <w:b/>
          <w:bCs w:val="0"/>
          <w:sz w:val="28"/>
          <w:szCs w:val="28"/>
          <w:highlight w:val="none"/>
          <w:lang w:val="ru-RU"/>
        </w:rPr>
        <w:t xml:space="preserve"> (далее - проект постановления)</w:t>
      </w:r>
    </w:p>
    <w:p>
      <w:pPr>
        <w:spacing w:after="0" w:line="240" w:lineRule="auto"/>
        <w:jc w:val="center"/>
        <w:rPr>
          <w:rFonts w:hint="default" w:ascii="Times New Roman" w:hAnsi="Times New Roman" w:cs="Times New Roman"/>
          <w:b/>
          <w:sz w:val="28"/>
          <w:szCs w:val="28"/>
        </w:rPr>
      </w:pPr>
    </w:p>
    <w:p>
      <w:pPr>
        <w:keepNext w:val="0"/>
        <w:keepLines w:val="0"/>
        <w:pageBreakBefore w:val="0"/>
        <w:widowControl/>
        <w:kinsoku/>
        <w:wordWrap/>
        <w:overflowPunct/>
        <w:topLinePunct w:val="0"/>
        <w:autoSpaceDE/>
        <w:autoSpaceDN/>
        <w:bidi w:val="0"/>
        <w:adjustRightInd/>
        <w:snapToGrid/>
        <w:spacing w:after="0" w:line="260" w:lineRule="auto"/>
        <w:ind w:firstLine="709" w:firstLineChars="0"/>
        <w:jc w:val="both"/>
        <w:textAlignment w:val="auto"/>
        <w:rPr>
          <w:rFonts w:hint="default" w:ascii="Times New Roman" w:hAnsi="Times New Roman" w:cs="Times New Roman"/>
          <w:b w:val="0"/>
          <w:bCs/>
          <w:sz w:val="28"/>
          <w:szCs w:val="28"/>
          <w:lang w:val="ru-RU"/>
        </w:rPr>
      </w:pPr>
      <w:r>
        <w:rPr>
          <w:rFonts w:hint="default" w:ascii="Times New Roman" w:hAnsi="Times New Roman" w:cs="Times New Roman"/>
          <w:sz w:val="28"/>
          <w:szCs w:val="28"/>
          <w:lang w:val="ru-RU"/>
        </w:rPr>
        <w:t xml:space="preserve">В связи с внесением изменений в </w:t>
      </w:r>
      <w:r>
        <w:rPr>
          <w:rFonts w:hint="default" w:ascii="Times New Roman" w:hAnsi="Times New Roman" w:cs="Times New Roman"/>
          <w:sz w:val="28"/>
          <w:szCs w:val="28"/>
        </w:rPr>
        <w:t>Федеральны</w:t>
      </w:r>
      <w:r>
        <w:rPr>
          <w:rFonts w:hint="default" w:ascii="Times New Roman" w:hAnsi="Times New Roman" w:cs="Times New Roman"/>
          <w:sz w:val="28"/>
          <w:szCs w:val="28"/>
          <w:lang w:val="ru-RU"/>
        </w:rPr>
        <w:t>й</w:t>
      </w:r>
      <w:r>
        <w:rPr>
          <w:rFonts w:hint="default" w:ascii="Times New Roman" w:hAnsi="Times New Roman" w:cs="Times New Roman"/>
          <w:sz w:val="28"/>
          <w:szCs w:val="28"/>
        </w:rPr>
        <w:t xml:space="preserve"> закон от 23.02.2013 №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(в редакции Федерального закона от 26.06.2026 № 186‑ФЗ)</w:t>
      </w:r>
      <w:r>
        <w:rPr>
          <w:rFonts w:hint="default" w:ascii="Times New Roman" w:hAnsi="Times New Roman" w:cs="Times New Roman"/>
          <w:sz w:val="28"/>
          <w:szCs w:val="28"/>
          <w:lang w:val="ru-RU"/>
        </w:rPr>
        <w:t xml:space="preserve">, необходимо принятие нового документа, определяющего стандарт для определения границ прилегающих территорий от организаций, </w:t>
      </w:r>
      <w:r>
        <w:rPr>
          <w:rFonts w:hint="default" w:ascii="Times New Roman" w:hAnsi="Times New Roman" w:cs="Times New Roman"/>
          <w:sz w:val="28"/>
          <w:szCs w:val="28"/>
        </w:rPr>
        <w:t>находящимся во владении и (или) в пользовании образовательных организаций (за исключением организаций дополнительного образования и организаций дополнительного профессионального образования), а также организаций, осуществляющих обучение несовершеннолетних</w:t>
      </w:r>
      <w:r>
        <w:rPr>
          <w:rFonts w:hint="default" w:ascii="Times New Roman" w:hAnsi="Times New Roman" w:cs="Times New Roman"/>
          <w:sz w:val="28"/>
          <w:szCs w:val="28"/>
          <w:lang w:val="ru-RU"/>
        </w:rPr>
        <w:t xml:space="preserve"> до границ прилегающих территорий, на которых не допускается</w:t>
      </w:r>
      <w:r>
        <w:rPr>
          <w:rFonts w:hint="default" w:ascii="Times New Roman" w:hAnsi="Times New Roman" w:cs="Times New Roman"/>
          <w:b/>
          <w:sz w:val="28"/>
          <w:szCs w:val="28"/>
        </w:rPr>
        <w:t xml:space="preserve"> </w:t>
      </w:r>
      <w:r>
        <w:rPr>
          <w:rFonts w:hint="default" w:ascii="Times New Roman" w:hAnsi="Times New Roman" w:cs="Times New Roman"/>
          <w:b w:val="0"/>
          <w:bCs/>
          <w:sz w:val="28"/>
          <w:szCs w:val="28"/>
        </w:rPr>
        <w:t>розничн</w:t>
      </w:r>
      <w:r>
        <w:rPr>
          <w:rFonts w:hint="default" w:ascii="Times New Roman" w:hAnsi="Times New Roman" w:cs="Times New Roman"/>
          <w:b w:val="0"/>
          <w:bCs/>
          <w:sz w:val="28"/>
          <w:szCs w:val="28"/>
          <w:lang w:val="ru-RU"/>
        </w:rPr>
        <w:t>ая</w:t>
      </w:r>
      <w:r>
        <w:rPr>
          <w:rFonts w:hint="default" w:ascii="Times New Roman" w:hAnsi="Times New Roman" w:cs="Times New Roman"/>
          <w:b w:val="0"/>
          <w:bCs/>
          <w:sz w:val="28"/>
          <w:szCs w:val="28"/>
        </w:rPr>
        <w:t xml:space="preserve"> торговл</w:t>
      </w:r>
      <w:r>
        <w:rPr>
          <w:rFonts w:hint="default" w:ascii="Times New Roman" w:hAnsi="Times New Roman" w:cs="Times New Roman"/>
          <w:b w:val="0"/>
          <w:bCs/>
          <w:sz w:val="28"/>
          <w:szCs w:val="28"/>
          <w:lang w:val="ru-RU"/>
        </w:rPr>
        <w:t>я</w:t>
      </w:r>
      <w:r>
        <w:rPr>
          <w:rFonts w:hint="default" w:ascii="Times New Roman" w:hAnsi="Times New Roman" w:cs="Times New Roman"/>
          <w:b w:val="0"/>
          <w:bCs/>
          <w:sz w:val="28"/>
          <w:szCs w:val="28"/>
        </w:rPr>
        <w:t xml:space="preserve"> табачной</w:t>
      </w:r>
      <w:r>
        <w:rPr>
          <w:rFonts w:hint="default" w:ascii="Times New Roman" w:hAnsi="Times New Roman" w:cs="Times New Roman"/>
          <w:b w:val="0"/>
          <w:bCs/>
          <w:sz w:val="28"/>
          <w:szCs w:val="28"/>
          <w:lang w:val="ru-RU"/>
        </w:rPr>
        <w:t xml:space="preserve"> продукцией</w:t>
      </w:r>
      <w:r>
        <w:rPr>
          <w:rFonts w:hint="default" w:ascii="Times New Roman" w:hAnsi="Times New Roman" w:cs="Times New Roman"/>
          <w:b w:val="0"/>
          <w:bCs/>
          <w:sz w:val="28"/>
          <w:szCs w:val="28"/>
        </w:rPr>
        <w:t xml:space="preserve"> и</w:t>
      </w:r>
      <w:r>
        <w:rPr>
          <w:rFonts w:hint="default" w:ascii="Times New Roman" w:hAnsi="Times New Roman" w:cs="Times New Roman"/>
          <w:b w:val="0"/>
          <w:bCs/>
          <w:sz w:val="28"/>
          <w:szCs w:val="28"/>
          <w:lang w:val="ru-RU"/>
        </w:rPr>
        <w:t>ли</w:t>
      </w:r>
      <w:r>
        <w:rPr>
          <w:rFonts w:hint="default" w:ascii="Times New Roman" w:hAnsi="Times New Roman" w:cs="Times New Roman"/>
          <w:b w:val="0"/>
          <w:bCs/>
          <w:sz w:val="28"/>
          <w:szCs w:val="28"/>
        </w:rPr>
        <w:t xml:space="preserve"> никотинсодержащей продукцией, кальянами и устройствами для потребления никотинсодержащей продукции</w:t>
      </w:r>
      <w:r>
        <w:rPr>
          <w:rFonts w:hint="default" w:ascii="Times New Roman" w:hAnsi="Times New Roman" w:cs="Times New Roman"/>
          <w:b w:val="0"/>
          <w:bCs/>
          <w:sz w:val="28"/>
          <w:szCs w:val="28"/>
          <w:lang w:val="ru-RU"/>
        </w:rPr>
        <w:t>.</w:t>
      </w:r>
    </w:p>
    <w:p>
      <w:pPr>
        <w:keepNext w:val="0"/>
        <w:keepLines w:val="0"/>
        <w:pageBreakBefore w:val="0"/>
        <w:widowControl/>
        <w:kinsoku/>
        <w:wordWrap/>
        <w:overflowPunct/>
        <w:topLinePunct w:val="0"/>
        <w:autoSpaceDE/>
        <w:autoSpaceDN/>
        <w:bidi w:val="0"/>
        <w:adjustRightInd/>
        <w:snapToGrid/>
        <w:spacing w:after="0" w:line="260" w:lineRule="auto"/>
        <w:ind w:firstLine="709" w:firstLineChars="0"/>
        <w:jc w:val="both"/>
        <w:textAlignment w:val="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Проектом предполагается определить, что розничная торговля табачной продукцией или никотинсодержащей продукцией, кальянами, устройствами для потребления никотинсодержащей продукции не допускается на расстоянии менее чем сто метров от ближайшей точки, граничащей с территорией, предназначенной для оказания образовательных услуг.</w:t>
      </w:r>
    </w:p>
    <w:p>
      <w:pPr>
        <w:keepNext w:val="0"/>
        <w:keepLines w:val="0"/>
        <w:pageBreakBefore w:val="0"/>
        <w:widowControl/>
        <w:kinsoku/>
        <w:wordWrap/>
        <w:overflowPunct/>
        <w:topLinePunct w:val="0"/>
        <w:autoSpaceDE/>
        <w:autoSpaceDN/>
        <w:bidi w:val="0"/>
        <w:adjustRightInd/>
        <w:snapToGrid/>
        <w:spacing w:after="0" w:line="260" w:lineRule="auto"/>
        <w:ind w:firstLine="709" w:firstLineChars="0"/>
        <w:jc w:val="both"/>
        <w:textAlignment w:val="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В настоящее время на территории Богородского муниципального округа Нижегородской области по адресу: Нижегородская область, г. Богородск, ул. Ленина д. 218 находится торговый объект «Огонек» (ИП Лебедев Александр Валерьевич ИНН 525810801710), реализующий никотинсодержащую продукцию (вейпы), расположенный на расстоянии менее ста метров от ближайшей точки, граничащей с территорией, предназначенной для оказания дополнительных образовательных услуг МБУДО ДЮЦ Спартак адрес: Нижегородская область, г. Богородск, ул. Ленина, д. 222 А. </w:t>
      </w:r>
    </w:p>
    <w:p>
      <w:pPr>
        <w:keepNext w:val="0"/>
        <w:keepLines w:val="0"/>
        <w:pageBreakBefore w:val="0"/>
        <w:widowControl/>
        <w:kinsoku/>
        <w:wordWrap/>
        <w:overflowPunct/>
        <w:topLinePunct w:val="0"/>
        <w:autoSpaceDE/>
        <w:autoSpaceDN/>
        <w:bidi w:val="0"/>
        <w:adjustRightInd/>
        <w:snapToGrid/>
        <w:spacing w:after="0" w:line="260" w:lineRule="auto"/>
        <w:ind w:firstLine="709" w:firstLineChars="0"/>
        <w:jc w:val="both"/>
        <w:textAlignment w:val="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Таким образом введённые</w:t>
      </w:r>
      <w:bookmarkStart w:id="0" w:name="_GoBack"/>
      <w:bookmarkEnd w:id="0"/>
      <w:r>
        <w:rPr>
          <w:rFonts w:hint="default" w:ascii="Times New Roman" w:hAnsi="Times New Roman" w:cs="Times New Roman"/>
          <w:sz w:val="28"/>
          <w:szCs w:val="28"/>
          <w:lang w:val="ru-RU"/>
        </w:rPr>
        <w:t xml:space="preserve"> ограничения повлияют на закрытие 1 торгового объекта реализующего табачную продукцию. </w:t>
      </w:r>
    </w:p>
    <w:p>
      <w:pPr>
        <w:keepNext w:val="0"/>
        <w:keepLines w:val="0"/>
        <w:pageBreakBefore w:val="0"/>
        <w:widowControl/>
        <w:kinsoku/>
        <w:wordWrap/>
        <w:overflowPunct/>
        <w:topLinePunct w:val="0"/>
        <w:autoSpaceDE/>
        <w:autoSpaceDN/>
        <w:bidi w:val="0"/>
        <w:adjustRightInd/>
        <w:snapToGrid/>
        <w:spacing w:after="0" w:line="260" w:lineRule="auto"/>
        <w:ind w:firstLine="709" w:firstLineChars="0"/>
        <w:jc w:val="both"/>
        <w:textAlignment w:val="auto"/>
        <w:rPr>
          <w:rFonts w:hint="default" w:ascii="Times New Roman" w:hAnsi="Times New Roman" w:cs="Times New Roman"/>
          <w:sz w:val="28"/>
          <w:szCs w:val="28"/>
          <w:lang w:val="ru-RU"/>
        </w:rPr>
      </w:pPr>
      <w:r>
        <w:rPr>
          <w:rFonts w:hint="default" w:ascii="Times New Roman" w:hAnsi="Times New Roman" w:cs="Times New Roman"/>
          <w:sz w:val="28"/>
          <w:szCs w:val="28"/>
          <w:lang w:val="en-US" w:eastAsia="zh-CN"/>
        </w:rPr>
        <w:t>Принятие проекта нормативного правового акта будет способствовать</w:t>
      </w:r>
      <w:r>
        <w:rPr>
          <w:rFonts w:hint="default" w:ascii="Times New Roman" w:hAnsi="Times New Roman" w:cs="Times New Roman"/>
          <w:sz w:val="28"/>
          <w:szCs w:val="28"/>
          <w:lang w:val="ru-RU" w:eastAsia="zh-CN"/>
        </w:rPr>
        <w:t xml:space="preserve"> </w:t>
      </w:r>
      <w:r>
        <w:rPr>
          <w:rFonts w:hint="default" w:ascii="Times New Roman" w:hAnsi="Times New Roman" w:cs="Times New Roman"/>
          <w:sz w:val="28"/>
          <w:szCs w:val="28"/>
          <w:lang w:val="en-US" w:eastAsia="zh-CN"/>
        </w:rPr>
        <w:t xml:space="preserve">упорядочению размещения предприятий, осуществляющих </w:t>
      </w:r>
      <w:r>
        <w:rPr>
          <w:rFonts w:hint="default" w:ascii="Times New Roman" w:hAnsi="Times New Roman" w:cs="Times New Roman"/>
          <w:sz w:val="28"/>
          <w:szCs w:val="28"/>
          <w:lang w:val="ru-RU"/>
        </w:rPr>
        <w:t>розничную торговлю табачной продукцией или никотинсодержащей продукцией, кальянами и устройствами для потребления никотинсодержащей продукции на территории Богородского муниципального округа Нижегородской области»</w:t>
      </w:r>
    </w:p>
    <w:p>
      <w:pPr>
        <w:keepNext w:val="0"/>
        <w:keepLines w:val="0"/>
        <w:pageBreakBefore w:val="0"/>
        <w:widowControl/>
        <w:kinsoku/>
        <w:wordWrap/>
        <w:overflowPunct/>
        <w:topLinePunct w:val="0"/>
        <w:autoSpaceDE/>
        <w:autoSpaceDN/>
        <w:bidi w:val="0"/>
        <w:adjustRightInd/>
        <w:snapToGrid/>
        <w:spacing w:after="0" w:line="260" w:lineRule="auto"/>
        <w:ind w:firstLine="709" w:firstLineChars="0"/>
        <w:jc w:val="both"/>
        <w:textAlignment w:val="auto"/>
        <w:rPr>
          <w:rFonts w:hint="default" w:ascii="Times New Roman" w:hAnsi="Times New Roman" w:cs="Times New Roman"/>
          <w:sz w:val="28"/>
          <w:szCs w:val="28"/>
          <w:lang w:val="ru-RU"/>
        </w:rPr>
      </w:pPr>
      <w:r>
        <w:rPr>
          <w:rFonts w:hint="default" w:ascii="Times New Roman" w:hAnsi="Times New Roman" w:cs="Times New Roman"/>
          <w:sz w:val="28"/>
          <w:szCs w:val="28"/>
          <w:lang w:val="en-US" w:eastAsia="zh-CN"/>
        </w:rPr>
        <w:t xml:space="preserve">Определение территорий, на которых не допускается </w:t>
      </w:r>
      <w:r>
        <w:rPr>
          <w:rFonts w:hint="default" w:ascii="Times New Roman" w:hAnsi="Times New Roman" w:cs="Times New Roman"/>
          <w:sz w:val="28"/>
          <w:szCs w:val="28"/>
          <w:lang w:val="ru-RU"/>
        </w:rPr>
        <w:t xml:space="preserve">розничная торговля табачной продукцией или никотинсодержащей продукцией, кальянами и устройствами для потребления никотинсодержащей продукции </w:t>
      </w:r>
      <w:r>
        <w:rPr>
          <w:rFonts w:hint="default" w:ascii="Times New Roman" w:hAnsi="Times New Roman" w:cs="Times New Roman"/>
          <w:sz w:val="28"/>
          <w:szCs w:val="28"/>
          <w:lang w:val="en-US" w:eastAsia="zh-CN"/>
        </w:rPr>
        <w:t>должно привести к снижению уровня потребления</w:t>
      </w:r>
      <w:r>
        <w:rPr>
          <w:rFonts w:hint="default" w:ascii="Times New Roman" w:hAnsi="Times New Roman" w:cs="Times New Roman"/>
          <w:sz w:val="28"/>
          <w:szCs w:val="28"/>
          <w:lang w:val="ru-RU" w:eastAsia="zh-CN"/>
        </w:rPr>
        <w:t xml:space="preserve"> никотиносодержащей</w:t>
      </w:r>
      <w:r>
        <w:rPr>
          <w:rFonts w:hint="default" w:ascii="Times New Roman" w:hAnsi="Times New Roman" w:cs="Times New Roman"/>
          <w:sz w:val="28"/>
          <w:szCs w:val="28"/>
          <w:lang w:val="en-US" w:eastAsia="zh-CN"/>
        </w:rPr>
        <w:t xml:space="preserve"> продукции.</w:t>
      </w:r>
    </w:p>
    <w:p>
      <w:pPr>
        <w:keepNext w:val="0"/>
        <w:keepLines w:val="0"/>
        <w:pageBreakBefore w:val="0"/>
        <w:widowControl/>
        <w:kinsoku/>
        <w:wordWrap/>
        <w:overflowPunct/>
        <w:topLinePunct w:val="0"/>
        <w:autoSpaceDE/>
        <w:autoSpaceDN/>
        <w:bidi w:val="0"/>
        <w:adjustRightInd/>
        <w:snapToGrid/>
        <w:spacing w:after="0" w:line="260" w:lineRule="auto"/>
        <w:ind w:firstLine="708" w:firstLineChars="0"/>
        <w:jc w:val="both"/>
        <w:textAlignment w:val="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Специального исследования данной проблемы не проводилось.</w:t>
      </w:r>
    </w:p>
    <w:p>
      <w:pPr>
        <w:keepNext w:val="0"/>
        <w:keepLines w:val="0"/>
        <w:pageBreakBefore w:val="0"/>
        <w:widowControl/>
        <w:kinsoku/>
        <w:wordWrap/>
        <w:overflowPunct/>
        <w:topLinePunct w:val="0"/>
        <w:autoSpaceDE/>
        <w:autoSpaceDN/>
        <w:bidi w:val="0"/>
        <w:adjustRightInd/>
        <w:snapToGrid/>
        <w:spacing w:after="0" w:line="260" w:lineRule="auto"/>
        <w:ind w:firstLine="708" w:firstLineChars="0"/>
        <w:jc w:val="both"/>
        <w:textAlignment w:val="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Дополнительных нагрузок и ограничений для субъектов торговой деятельности не предполагается.</w:t>
      </w:r>
    </w:p>
    <w:p>
      <w:pPr>
        <w:keepNext w:val="0"/>
        <w:keepLines w:val="0"/>
        <w:pageBreakBefore w:val="0"/>
        <w:widowControl/>
        <w:kinsoku/>
        <w:wordWrap/>
        <w:overflowPunct/>
        <w:topLinePunct w:val="0"/>
        <w:autoSpaceDE/>
        <w:autoSpaceDN/>
        <w:bidi w:val="0"/>
        <w:adjustRightInd/>
        <w:snapToGrid/>
        <w:spacing w:after="0" w:line="260" w:lineRule="auto"/>
        <w:ind w:firstLine="708" w:firstLineChars="0"/>
        <w:jc w:val="both"/>
        <w:textAlignment w:val="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Негативных последствий от принятия Проекта постановления не предполагается. Принятие Проекта постановления не потребует выделения дополнительных средств из бюджета Богородского муниципального округа Нижегородской области.</w:t>
      </w:r>
    </w:p>
    <w:p>
      <w:pPr>
        <w:keepNext w:val="0"/>
        <w:keepLines w:val="0"/>
        <w:pageBreakBefore w:val="0"/>
        <w:widowControl/>
        <w:kinsoku/>
        <w:wordWrap/>
        <w:overflowPunct/>
        <w:topLinePunct w:val="0"/>
        <w:autoSpaceDE/>
        <w:autoSpaceDN/>
        <w:bidi w:val="0"/>
        <w:adjustRightInd/>
        <w:snapToGrid/>
        <w:spacing w:after="0" w:line="260" w:lineRule="auto"/>
        <w:ind w:firstLine="708" w:firstLineChars="0"/>
        <w:jc w:val="both"/>
        <w:textAlignment w:val="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Ответственным за реализацию регулирования является отдел малого предпринимательства и потребительского рынка управления экономического развития, промышленности и предпринимательства администрации Богородского муниципального округа Нижегородской области.</w:t>
      </w:r>
    </w:p>
    <w:p>
      <w:pPr>
        <w:spacing w:after="0" w:line="240" w:lineRule="auto"/>
        <w:ind w:firstLine="567"/>
        <w:jc w:val="both"/>
        <w:rPr>
          <w:rFonts w:hint="default" w:ascii="Times New Roman" w:hAnsi="Times New Roman" w:cs="Times New Roman"/>
          <w:sz w:val="28"/>
          <w:szCs w:val="28"/>
          <w:lang w:val="ru-RU"/>
        </w:rPr>
      </w:pPr>
    </w:p>
    <w:p>
      <w:pPr>
        <w:spacing w:after="0" w:line="240" w:lineRule="auto"/>
        <w:ind w:firstLine="567"/>
        <w:jc w:val="both"/>
        <w:rPr>
          <w:rFonts w:hint="default" w:ascii="Times New Roman" w:hAnsi="Times New Roman" w:cs="Times New Roman"/>
          <w:sz w:val="28"/>
          <w:szCs w:val="28"/>
        </w:rPr>
      </w:pPr>
    </w:p>
    <w:p>
      <w:pPr>
        <w:spacing w:after="0" w:line="240" w:lineRule="auto"/>
        <w:ind w:firstLine="567"/>
        <w:jc w:val="both"/>
        <w:rPr>
          <w:rFonts w:hint="default" w:ascii="Times New Roman" w:hAnsi="Times New Roman" w:cs="Times New Roman"/>
          <w:sz w:val="28"/>
          <w:szCs w:val="28"/>
        </w:rPr>
      </w:pPr>
    </w:p>
    <w:p>
      <w:pPr>
        <w:spacing w:after="0" w:line="240" w:lineRule="auto"/>
        <w:ind w:firstLine="567"/>
        <w:jc w:val="both"/>
        <w:rPr>
          <w:rFonts w:hint="default" w:ascii="Times New Roman" w:hAnsi="Times New Roman" w:cs="Times New Roman"/>
          <w:sz w:val="28"/>
          <w:szCs w:val="28"/>
        </w:rPr>
      </w:pPr>
    </w:p>
    <w:p>
      <w:pPr>
        <w:spacing w:after="0" w:line="240" w:lineRule="auto"/>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Начальник </w:t>
      </w:r>
    </w:p>
    <w:p>
      <w:pPr>
        <w:spacing w:after="0" w:line="240" w:lineRule="auto"/>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отдела малого предпринимательства</w:t>
      </w:r>
    </w:p>
    <w:p>
      <w:pPr>
        <w:spacing w:after="0" w:line="240" w:lineRule="auto"/>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и потребительского рынка управления</w:t>
      </w:r>
    </w:p>
    <w:p>
      <w:pPr>
        <w:spacing w:after="0" w:line="240" w:lineRule="auto"/>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экономического развития,</w:t>
      </w:r>
    </w:p>
    <w:p>
      <w:pPr>
        <w:spacing w:after="0" w:line="240" w:lineRule="auto"/>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промышленности</w:t>
      </w:r>
    </w:p>
    <w:p>
      <w:pPr>
        <w:spacing w:after="0" w:line="240" w:lineRule="auto"/>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и предпринимательства                                                                                  Е.В.Маркина</w:t>
      </w:r>
    </w:p>
    <w:p>
      <w:pPr>
        <w:spacing w:after="0" w:line="240" w:lineRule="auto"/>
        <w:jc w:val="both"/>
        <w:rPr>
          <w:rFonts w:hint="default" w:ascii="Times New Roman" w:hAnsi="Times New Roman" w:cs="Times New Roman"/>
          <w:sz w:val="26"/>
          <w:szCs w:val="26"/>
        </w:rPr>
      </w:pPr>
    </w:p>
    <w:sectPr>
      <w:pgSz w:w="11906" w:h="16838"/>
      <w:pgMar w:top="568" w:right="566" w:bottom="142"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B0014C"/>
    <w:rsid w:val="001515CA"/>
    <w:rsid w:val="00151A35"/>
    <w:rsid w:val="001735C4"/>
    <w:rsid w:val="00207F36"/>
    <w:rsid w:val="00236BB7"/>
    <w:rsid w:val="00347225"/>
    <w:rsid w:val="006E04BE"/>
    <w:rsid w:val="00724FC1"/>
    <w:rsid w:val="0081513A"/>
    <w:rsid w:val="00830038"/>
    <w:rsid w:val="008F0E7F"/>
    <w:rsid w:val="00A663E0"/>
    <w:rsid w:val="00A906B9"/>
    <w:rsid w:val="00AF6354"/>
    <w:rsid w:val="00B0014C"/>
    <w:rsid w:val="00B757A2"/>
    <w:rsid w:val="00C04B56"/>
    <w:rsid w:val="00CA00B6"/>
    <w:rsid w:val="00D41784"/>
    <w:rsid w:val="036C4532"/>
    <w:rsid w:val="03945103"/>
    <w:rsid w:val="04812CF6"/>
    <w:rsid w:val="0618253F"/>
    <w:rsid w:val="082F1394"/>
    <w:rsid w:val="0A564A1C"/>
    <w:rsid w:val="0ACB0ED6"/>
    <w:rsid w:val="0C941CBB"/>
    <w:rsid w:val="106B0619"/>
    <w:rsid w:val="14B20F8C"/>
    <w:rsid w:val="169D56D0"/>
    <w:rsid w:val="18CB193B"/>
    <w:rsid w:val="1CFD33E2"/>
    <w:rsid w:val="1E6A5E28"/>
    <w:rsid w:val="1EFB7B61"/>
    <w:rsid w:val="202E1192"/>
    <w:rsid w:val="22234B2D"/>
    <w:rsid w:val="22462717"/>
    <w:rsid w:val="23673C63"/>
    <w:rsid w:val="23B65585"/>
    <w:rsid w:val="290446A3"/>
    <w:rsid w:val="29C77492"/>
    <w:rsid w:val="2AF0719E"/>
    <w:rsid w:val="2AFB6A87"/>
    <w:rsid w:val="2C190424"/>
    <w:rsid w:val="2CED1EEC"/>
    <w:rsid w:val="2DD70000"/>
    <w:rsid w:val="338D29CC"/>
    <w:rsid w:val="348D269C"/>
    <w:rsid w:val="37DF4D9D"/>
    <w:rsid w:val="3C1E6B30"/>
    <w:rsid w:val="3F9E3CCE"/>
    <w:rsid w:val="3FA629CD"/>
    <w:rsid w:val="40F161C8"/>
    <w:rsid w:val="41BF5CF1"/>
    <w:rsid w:val="43DF35FD"/>
    <w:rsid w:val="45417E8C"/>
    <w:rsid w:val="459F42D2"/>
    <w:rsid w:val="489C6E45"/>
    <w:rsid w:val="4C4111D8"/>
    <w:rsid w:val="4DAB1FDE"/>
    <w:rsid w:val="5037530B"/>
    <w:rsid w:val="508D5582"/>
    <w:rsid w:val="574E0696"/>
    <w:rsid w:val="584B2E5C"/>
    <w:rsid w:val="58D63F75"/>
    <w:rsid w:val="59A93C8F"/>
    <w:rsid w:val="5D4B3FDC"/>
    <w:rsid w:val="5EF31467"/>
    <w:rsid w:val="600A3412"/>
    <w:rsid w:val="611E68C2"/>
    <w:rsid w:val="62E12954"/>
    <w:rsid w:val="659C2140"/>
    <w:rsid w:val="6965742F"/>
    <w:rsid w:val="6A5B79FD"/>
    <w:rsid w:val="6E127F79"/>
    <w:rsid w:val="6F00046B"/>
    <w:rsid w:val="764D5213"/>
    <w:rsid w:val="79392E9F"/>
    <w:rsid w:val="7A0B18DC"/>
    <w:rsid w:val="7C035E38"/>
    <w:rsid w:val="7FC10663"/>
    <w:rsid w:val="7FDD44B2"/>
    <w:rsid w:val="7FF432C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6"/>
    <w:semiHidden/>
    <w:unhideWhenUsed/>
    <w:qFormat/>
    <w:uiPriority w:val="99"/>
    <w:pPr>
      <w:spacing w:after="0" w:line="240" w:lineRule="auto"/>
    </w:pPr>
    <w:rPr>
      <w:rFonts w:ascii="Tahoma" w:hAnsi="Tahoma" w:cs="Tahoma"/>
      <w:sz w:val="16"/>
      <w:szCs w:val="16"/>
    </w:rPr>
  </w:style>
  <w:style w:type="paragraph" w:styleId="5">
    <w:name w:val="List Paragraph"/>
    <w:basedOn w:val="1"/>
    <w:qFormat/>
    <w:uiPriority w:val="34"/>
    <w:pPr>
      <w:ind w:left="720"/>
      <w:contextualSpacing/>
    </w:pPr>
  </w:style>
  <w:style w:type="character" w:customStyle="1" w:styleId="6">
    <w:name w:val="Текст выноски Знак"/>
    <w:basedOn w:val="2"/>
    <w:link w:val="4"/>
    <w:semiHidden/>
    <w:qFormat/>
    <w:uiPriority w:val="99"/>
    <w:rPr>
      <w:rFonts w:ascii="Tahoma" w:hAnsi="Tahoma" w:cs="Tahoma"/>
      <w:sz w:val="16"/>
      <w:szCs w:val="16"/>
    </w:rPr>
  </w:style>
  <w:style w:type="paragraph" w:customStyle="1" w:styleId="7">
    <w:name w:val="ConsPlusNormal"/>
    <w:qFormat/>
    <w:uiPriority w:val="6"/>
    <w:pPr>
      <w:widowControl w:val="0"/>
      <w:suppressAutoHyphens/>
      <w:kinsoku/>
      <w:overflowPunct/>
      <w:autoSpaceDE/>
      <w:bidi w:val="0"/>
      <w:spacing w:before="0" w:after="0" w:line="240" w:lineRule="auto"/>
      <w:jc w:val="left"/>
    </w:pPr>
    <w:rPr>
      <w:rFonts w:ascii="Arial" w:hAnsi="Arial" w:eastAsia="Times New Roman" w:cs="Arial"/>
      <w:color w:val="auto"/>
      <w:kern w:val="2"/>
      <w:sz w:val="20"/>
      <w:szCs w:val="20"/>
      <w:lang w:val="en-US" w:eastAsia="zh-CN" w:bidi="hi-IN"/>
    </w:rPr>
  </w:style>
  <w:style w:type="character" w:customStyle="1" w:styleId="8">
    <w:name w:val="Date_num"/>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475C9-D06B-41C9-881C-3F610A39FFFE}">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368</Words>
  <Characters>2104</Characters>
  <Lines>17</Lines>
  <Paragraphs>4</Paragraphs>
  <TotalTime>7</TotalTime>
  <ScaleCrop>false</ScaleCrop>
  <LinksUpToDate>false</LinksUpToDate>
  <CharactersWithSpaces>2468</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2021-02-19T07:07:00Z</dcterms:created>
  <dc:creator>Федичева Наталия Владимировна</dc:creator>
  <cp:lastModifiedBy>1</cp:lastModifiedBy>
  <cp:lastPrinted>2022-06-03T05:37:00Z</cp:lastPrinted>
  <dcterms:modified xsi:type="dcterms:W3CDTF">2026-08-12T13:18:48Z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D44D34942C4A4C15B22EE53CB8E51B4E</vt:lpwstr>
  </property>
</Properties>
</file>