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3"/>
        <w:ind w:right="0" w:firstLine="709"/>
        <w:jc w:val="center"/>
        <w:widowControl w:val="off"/>
        <w:rPr>
          <w:b/>
        </w:rPr>
      </w:pPr>
      <w:r>
        <w:rPr>
          <w:b/>
          <w:sz w:val="24"/>
          <w:szCs w:val="24"/>
        </w:rPr>
        <w:t xml:space="preserve">Заключение</w:t>
      </w:r>
      <w:r/>
    </w:p>
    <w:p>
      <w:pPr>
        <w:pStyle w:val="613"/>
        <w:ind w:right="0" w:firstLine="709"/>
        <w:jc w:val="center"/>
        <w:widowControl w:val="off"/>
        <w:rPr>
          <w:b/>
        </w:rPr>
      </w:pPr>
      <w:r>
        <w:rPr>
          <w:b/>
          <w:sz w:val="24"/>
          <w:szCs w:val="24"/>
        </w:rPr>
        <w:t xml:space="preserve">об оценке проекта акта</w:t>
      </w:r>
      <w:r/>
    </w:p>
    <w:p>
      <w:pPr>
        <w:pStyle w:val="613"/>
        <w:ind w:right="0" w:firstLine="709"/>
        <w:jc w:val="center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613"/>
        <w:ind w:right="0"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1. Общие сведения:</w:t>
      </w:r>
      <w:r/>
    </w:p>
    <w:p>
      <w:pPr>
        <w:pStyle w:val="613"/>
        <w:ind w:right="0" w:firstLine="709"/>
        <w:jc w:val="both"/>
        <w:widowControl w:val="off"/>
        <w:rPr>
          <w:u w:val="single"/>
        </w:rPr>
      </w:pPr>
      <w:r>
        <w:rPr>
          <w:sz w:val="24"/>
          <w:szCs w:val="24"/>
        </w:rPr>
        <w:t xml:space="preserve">Регулирующий орган (субъект права законодательной инициативы): </w:t>
      </w:r>
      <w:r>
        <w:rPr>
          <w:sz w:val="24"/>
          <w:szCs w:val="24"/>
          <w:u w:val="single"/>
        </w:rPr>
        <w:t xml:space="preserve">комитет по делам архивов Нижегородской области (далее - комитет).</w:t>
      </w:r>
      <w:r/>
    </w:p>
    <w:p>
      <w:pPr>
        <w:pStyle w:val="613"/>
        <w:ind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проекта акта: </w:t>
      </w:r>
      <w:r>
        <w:rPr>
          <w:sz w:val="24"/>
          <w:szCs w:val="24"/>
          <w:u w:val="single"/>
        </w:rPr>
        <w:t xml:space="preserve">проект постановления Правительства Нижегородской области </w:t>
      </w:r>
      <w:r>
        <w:rPr>
          <w:color w:val="000000"/>
          <w:sz w:val="24"/>
          <w:szCs w:val="24"/>
          <w:u w:val="single"/>
          <w:lang w:bidi="ru-RU"/>
        </w:rPr>
        <w:t xml:space="preserve">«</w:t>
      </w:r>
      <w:r>
        <w:rPr>
          <w:rFonts w:eastAsia="Times New Roman" w:cs="Times New Roman"/>
          <w:b w:val="0"/>
          <w:bCs w:val="0"/>
          <w:color w:val="000000"/>
          <w:sz w:val="24"/>
          <w:szCs w:val="24"/>
          <w:u w:val="single"/>
          <w:lang w:val="ru-RU" w:eastAsia="ru-RU" w:bidi="ar-SA"/>
        </w:rPr>
        <w:t xml:space="preserve">О внесении изменений в постановление Правительства Нижегородской области от 21 сентября 2021 г. № 834</w:t>
      </w:r>
      <w:r>
        <w:rPr>
          <w:rFonts w:cs="Times New Roman"/>
          <w:b w:val="0"/>
          <w:bCs w:val="0"/>
          <w:color w:val="000000"/>
          <w:sz w:val="24"/>
          <w:szCs w:val="24"/>
          <w:u w:val="single"/>
          <w:lang w:bidi="ru-RU"/>
        </w:rPr>
        <w:t xml:space="preserve">» </w:t>
      </w:r>
      <w:r>
        <w:rPr>
          <w:sz w:val="24"/>
          <w:szCs w:val="24"/>
          <w:u w:val="single"/>
        </w:rPr>
        <w:t xml:space="preserve">(далее – проект постановления).</w:t>
      </w:r>
      <w:r/>
    </w:p>
    <w:p>
      <w:pPr>
        <w:pStyle w:val="613"/>
        <w:ind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Степень регулирующего воздействия проекта акта (высокая или низкая)</w:t>
      </w:r>
      <w:r>
        <w:rPr>
          <w:sz w:val="24"/>
          <w:szCs w:val="24"/>
          <w:shd w:val="clear" w:color="auto" w:fill="auto"/>
        </w:rPr>
        <w:t xml:space="preserve">: </w:t>
      </w:r>
      <w:r>
        <w:rPr>
          <w:sz w:val="24"/>
          <w:szCs w:val="24"/>
          <w:u w:val="single"/>
          <w:shd w:val="clear" w:color="auto" w:fill="auto"/>
        </w:rPr>
        <w:t xml:space="preserve">высокая</w:t>
      </w:r>
      <w:r>
        <w:rPr>
          <w:rFonts w:eastAsia="Times New Roman" w:cs="Times New Roman"/>
          <w:b w:val="0"/>
          <w:color w:val="000000"/>
          <w:sz w:val="24"/>
          <w:szCs w:val="24"/>
          <w:u w:val="single"/>
          <w:shd w:val="clear" w:color="auto" w:fill="auto"/>
          <w:lang w:eastAsia="ru-RU" w:bidi="ru-RU"/>
        </w:rPr>
        <w:t xml:space="preserve">.</w:t>
      </w:r>
      <w:r/>
    </w:p>
    <w:p>
      <w:pPr>
        <w:pStyle w:val="634"/>
        <w:ind w:right="0" w:firstLine="709"/>
        <w:rPr>
          <w:sz w:val="24"/>
          <w:szCs w:val="24"/>
        </w:rPr>
      </w:pPr>
      <w:r>
        <w:rPr>
          <w:b w:val="0"/>
          <w:sz w:val="24"/>
          <w:szCs w:val="24"/>
        </w:rPr>
        <w:t xml:space="preserve">2. Описание существующей проблемы:</w:t>
      </w:r>
      <w:r/>
    </w:p>
    <w:p>
      <w:pPr>
        <w:pStyle w:val="613"/>
        <w:ind w:right="0" w:firstLine="709"/>
        <w:jc w:val="both"/>
        <w:rPr>
          <w:rFonts w:eastAsia="Times New Roman" w:cs="Times New Roman"/>
          <w:color w:val="auto"/>
          <w:sz w:val="24"/>
          <w:szCs w:val="24"/>
          <w:highlight w:val="none"/>
          <w:u w:val="single"/>
          <w:lang w:val="ru-RU" w:eastAsia="zh-CN" w:bidi="ar-SA"/>
        </w:rPr>
      </w:pPr>
      <w:r>
        <w:rPr>
          <w:sz w:val="24"/>
          <w:szCs w:val="24"/>
        </w:rPr>
        <w:t xml:space="preserve">Причины государственного вмешательства (На решение какой проблемы направлено рассматриваемое государственное регулирование?): </w:t>
      </w:r>
      <w:r>
        <w:rPr>
          <w:u w:val="single"/>
        </w:rPr>
        <w:t xml:space="preserve">п</w:t>
      </w:r>
      <w:r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</w:rPr>
        <w:t xml:space="preserve">р</w:t>
      </w:r>
      <w:r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</w:rPr>
        <w:t xml:space="preserve">оект постановления </w:t>
      </w:r>
      <w:r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</w:rPr>
        <w:t xml:space="preserve">подготовлен комитетом </w:t>
      </w:r>
      <w:r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</w:rPr>
        <w:t xml:space="preserve">в связи с </w:t>
      </w:r>
      <w:r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</w:rPr>
        <w:t xml:space="preserve">п</w:t>
      </w:r>
      <w:r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</w:rPr>
        <w:t xml:space="preserve">остановлением Правительства Российской Федерации от 1 октября 2025 г. № 1511 «О периодичности проведения обязательных профилактических визитов в рамках государствен</w:t>
      </w:r>
      <w:r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</w:rPr>
        <w:t xml:space="preserve">ного контроля (надзора), муниципального контроля» (далее - Постановление) и протоколом совещания Министерства экономического развития Российской Федерации на тему: «О рассмотрении ж</w:t>
      </w:r>
      <w:r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</w:rPr>
        <w:t xml:space="preserve">алоб в рамках механизма досудебного обжалования и об отдельных вопросах контрольной (надзорной) деятельности» от 30 сентября 2025 г. № 52-Д24 (далее - Протокол).</w:t>
      </w:r>
      <w:r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</w:rPr>
      </w:r>
      <w:r>
        <w:rPr>
          <w:rFonts w:eastAsia="Times New Roman" w:cs="Times New Roman"/>
          <w:color w:val="auto"/>
          <w:sz w:val="24"/>
          <w:szCs w:val="24"/>
          <w:highlight w:val="none"/>
          <w:u w:val="single"/>
          <w:lang w:val="ru-RU" w:eastAsia="zh-CN" w:bidi="ar-SA"/>
        </w:rPr>
      </w:r>
    </w:p>
    <w:p>
      <w:pPr>
        <w:ind w:right="0" w:firstLine="709"/>
        <w:jc w:val="both"/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  <w14:ligatures w14:val="none"/>
        </w:rPr>
      </w:pPr>
      <w:r>
        <w:rPr>
          <w:sz w:val="24"/>
          <w:szCs w:val="24"/>
        </w:rPr>
        <w:t xml:space="preserve">Цель введения акта: </w:t>
      </w:r>
      <w:r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</w:rPr>
        <w:t xml:space="preserve">проект разработан в целях </w:t>
      </w:r>
      <w:r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</w:rPr>
        <w:t xml:space="preserve">реализации Постановления и выполнения Протокола. </w:t>
      </w:r>
      <w:r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</w:rPr>
      </w:r>
      <w:r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</w:rPr>
      </w:r>
    </w:p>
    <w:p>
      <w:pPr>
        <w:ind w:right="0" w:firstLine="709"/>
        <w:jc w:val="both"/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  <w14:ligatures w14:val="none"/>
        </w:rPr>
      </w:pPr>
      <w:r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</w:rPr>
        <w:t xml:space="preserve">В частности, в соответствии с пунктом 4 решения Протокола комитетом проведен анализ систем категорирования объектов контроля на предмет их соответствия «классической пирамиде рисков». Выявлена диспропорция (контролируемые лица средней </w:t>
      </w:r>
      <w:r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</w:rPr>
        <w:t xml:space="preserve">категории риска более 1000 юридических лиц, умеренной — около 300, низкой — 0). Организована работа по внесению изменений в положение о региональном государственном контроле (надзоре). Пересмотр системы категорирования объектов контроля позволит привести р</w:t>
      </w:r>
      <w:r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</w:rPr>
        <w:t xml:space="preserve">еестр объектов </w:t>
      </w:r>
      <w:r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</w:rPr>
        <w:t xml:space="preserve">контроля комитета Единого реестра видов контроля к «классической пирамиде рисков» (контролируемые лица средней категории риска около 100 юридических лиц, умеренной — около 300, низкой — около 1000).</w:t>
      </w:r>
      <w:r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</w:rPr>
      </w:r>
      <w:r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</w:rPr>
      </w:r>
    </w:p>
    <w:p>
      <w:pPr>
        <w:ind w:right="0" w:firstLine="709"/>
        <w:jc w:val="both"/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  <w14:ligatures w14:val="none"/>
        </w:rPr>
      </w:pPr>
      <w:r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</w:rPr>
        <w:t xml:space="preserve">Информация о произведенных исправлениях раскрывается в подпункте 1.2.1 и пункте 1.3 Проекта (связана с исправлением неточностей, допущенных ранее).</w:t>
      </w:r>
      <w:r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</w:rPr>
      </w:r>
      <w:r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</w:rPr>
      </w:r>
    </w:p>
    <w:p>
      <w:pPr>
        <w:ind w:right="0" w:firstLine="709"/>
        <w:jc w:val="both"/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  <w14:ligatures w14:val="none"/>
        </w:rPr>
      </w:pPr>
      <w:r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</w:rPr>
        <w:t xml:space="preserve">В связи с необходимостью сделать ссылку на Постановление в подпункте 1.2.1 проекта предусмотрены необходимые реквизиты нормативного правового акта.</w:t>
      </w:r>
      <w:r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</w:rPr>
      </w:r>
      <w:r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</w:rPr>
      </w:r>
    </w:p>
    <w:p>
      <w:pPr>
        <w:ind w:right="0" w:firstLine="709"/>
        <w:jc w:val="both"/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  <w14:ligatures w14:val="none"/>
        </w:rPr>
      </w:pPr>
      <w:r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</w:rPr>
        <w:t xml:space="preserve">В соответствии с пунктом 2 решения Протокола комитетом проведен мониторинга эффективности применения индикаторов риска нарушения обязательных требований. Анализ практики применения индикаторов показал, что нарушения по п</w:t>
      </w:r>
      <w:r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</w:rPr>
        <w:t xml:space="preserve">унктам 1 и 2 перечня индикаторов риска нарушения обязательных требований при осуществлении регионального государственного контроля (надзора) за соблюдением законодательства об архивном деле, утвержденного постановлением Правительства Нижегородской области </w:t>
      </w:r>
      <w:bookmarkStart w:id="0" w:name="undefined"/>
      <w:r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</w:rPr>
        <w:t xml:space="preserve">от 21 сентября 2021 г. № 834 (далее – Перечень)</w:t>
      </w:r>
      <w:bookmarkEnd w:id="0"/>
      <w:r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</w:rPr>
        <w:t xml:space="preserve">, не выявляются с момента их принятия постановлением Правительства Нижего</w:t>
      </w:r>
      <w:r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</w:rPr>
        <w:t xml:space="preserve">родской области от 24 июля 2023 г. № 662 «О внесении изменений в постановление Правительства Нижегородской области от 21 сентября 2021 г. № 834», т.е. указанные индикаторы не отражают риска нарушения обязательного требования и/или причинения вреда (ущерба).</w:t>
      </w:r>
      <w:r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</w:rPr>
      </w:r>
      <w:r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</w:rPr>
      </w:r>
    </w:p>
    <w:p>
      <w:pPr>
        <w:pStyle w:val="613"/>
        <w:ind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Риски, связанные с текущей ситуацией: </w:t>
      </w:r>
      <w:r>
        <w:rPr>
          <w:sz w:val="24"/>
          <w:szCs w:val="24"/>
          <w:u w:val="single"/>
        </w:rPr>
        <w:t xml:space="preserve">отсутствуют.</w:t>
      </w:r>
      <w:r/>
    </w:p>
    <w:p>
      <w:pPr>
        <w:pStyle w:val="613"/>
        <w:ind w:right="0" w:firstLine="709"/>
        <w:jc w:val="both"/>
        <w:rPr>
          <w:u w:val="single"/>
        </w:rPr>
      </w:pPr>
      <w:r>
        <w:rPr>
          <w:sz w:val="24"/>
          <w:szCs w:val="24"/>
        </w:rPr>
        <w:t xml:space="preserve">Последствия, если никаких действий не будет предпринято: </w:t>
      </w:r>
      <w:r>
        <w:rPr>
          <w:sz w:val="24"/>
          <w:szCs w:val="24"/>
          <w:u w:val="single"/>
        </w:rPr>
        <w:t xml:space="preserve">необеспечение жизненного цикла индикаторов в части </w:t>
      </w:r>
      <w:r>
        <w:rPr>
          <w:sz w:val="24"/>
          <w:szCs w:val="24"/>
          <w:u w:val="single"/>
        </w:rPr>
        <w:t xml:space="preserve">регулярного их пересмотра и актуализации, </w:t>
      </w:r>
      <w:r>
        <w:rPr>
          <w:sz w:val="24"/>
          <w:szCs w:val="24"/>
          <w:u w:val="single"/>
        </w:rPr>
        <w:t xml:space="preserve">сохранение диспропорции </w:t>
      </w:r>
      <w:r>
        <w:rPr>
          <w:sz w:val="24"/>
          <w:szCs w:val="24"/>
          <w:u w:val="single"/>
        </w:rPr>
        <w:t xml:space="preserve">в системе категорирования</w:t>
      </w:r>
      <w:r>
        <w:rPr>
          <w:u w:val="single"/>
        </w:rPr>
        <w:t xml:space="preserve"> </w:t>
      </w:r>
      <w:r>
        <w:rPr>
          <w:sz w:val="24"/>
          <w:szCs w:val="24"/>
          <w:u w:val="single"/>
        </w:rPr>
        <w:t xml:space="preserve">объектов контроля и ее не </w:t>
      </w:r>
      <w:r>
        <w:rPr>
          <w:sz w:val="24"/>
          <w:szCs w:val="24"/>
          <w:u w:val="single"/>
        </w:rPr>
        <w:t xml:space="preserve">соответствие «классической пирамиде </w:t>
      </w:r>
      <w:r>
        <w:rPr>
          <w:sz w:val="24"/>
          <w:szCs w:val="24"/>
          <w:u w:val="single"/>
        </w:rPr>
        <w:t xml:space="preserve">рисков»</w:t>
      </w:r>
      <w:r>
        <w:rPr>
          <w:u w:val="single"/>
        </w:rPr>
        <w:t xml:space="preserve">.</w:t>
      </w:r>
      <w:r>
        <w:rPr>
          <w:sz w:val="24"/>
          <w:szCs w:val="24"/>
          <w:u w:val="single"/>
        </w:rPr>
      </w:r>
    </w:p>
    <w:p>
      <w:pPr>
        <w:pStyle w:val="613"/>
        <w:ind w:right="0"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Социальные группы, экономические сектора или территории, на которые оказывается воздействие: </w:t>
      </w:r>
      <w:r>
        <w:rPr>
          <w:sz w:val="24"/>
          <w:szCs w:val="24"/>
          <w:u w:val="single"/>
        </w:rPr>
        <w:t xml:space="preserve">регулирующее воздействие проекта постановления оказывается в отношении физич</w:t>
      </w:r>
      <w:r>
        <w:rPr>
          <w:sz w:val="24"/>
          <w:szCs w:val="24"/>
          <w:u w:val="single"/>
        </w:rPr>
        <w:t xml:space="preserve">еских лиц, индивидуальных предпринимателей, юридических лиц, в том числе органов государственной власти и иных государственных органов Нижегородской области, органов местного самоуправления муниципальных образований Нижегородской области и должностных лиц </w:t>
      </w:r>
      <w:r>
        <w:rPr>
          <w:sz w:val="24"/>
          <w:szCs w:val="24"/>
          <w:u w:val="single"/>
        </w:rPr>
        <w:t xml:space="preserve">органов местного самоуправления муниципальных образований Нижегородской области, государственных, муниципальных организаций и учреждений, негосударственных организаций, которые выступают источниками комплектования государственных и муниципальных архивов Ни</w:t>
      </w:r>
      <w:r>
        <w:rPr>
          <w:sz w:val="24"/>
          <w:szCs w:val="24"/>
          <w:u w:val="single"/>
        </w:rPr>
        <w:t xml:space="preserve">жегородской области архивными документами и в процессе деятельности которых образуются документы Архивного фонда Российской Федерации и другие архивные документы, подлежащие приему на хранение в государственные и муниципальные архивы Нижегородской области.</w:t>
      </w:r>
      <w:r/>
    </w:p>
    <w:p>
      <w:pPr>
        <w:pStyle w:val="613"/>
        <w:ind w:right="0"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 Цели регулирования:</w:t>
      </w:r>
      <w:r/>
    </w:p>
    <w:p>
      <w:pPr>
        <w:pStyle w:val="613"/>
        <w:ind w:right="0"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Основные цели регулирования: </w:t>
      </w:r>
      <w:r>
        <w:rPr>
          <w:sz w:val="24"/>
          <w:szCs w:val="24"/>
          <w:u w:val="single"/>
        </w:rPr>
        <w:t xml:space="preserve">обеспечение правового регулирования регионального государственного контроля (надзора) за соблюдением законодательства об архивном деле на территории Нижегородской области на основе единых принципов.</w:t>
      </w:r>
      <w:r/>
    </w:p>
    <w:p>
      <w:pPr>
        <w:pStyle w:val="613"/>
        <w:ind w:right="0" w:firstLine="709"/>
        <w:jc w:val="both"/>
        <w:widowControl w:val="off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Обоснование неэффективности действующего в рассматриваемой сфере регулирования: </w:t>
      </w:r>
      <w:r>
        <w:rPr>
          <w:sz w:val="24"/>
          <w:szCs w:val="24"/>
          <w:u w:val="single"/>
        </w:rPr>
      </w:r>
      <w:r>
        <w:rPr>
          <w:sz w:val="24"/>
          <w:szCs w:val="24"/>
        </w:rPr>
      </w:r>
      <w:r>
        <w:rPr>
          <w:sz w:val="24"/>
          <w:szCs w:val="24"/>
          <w:u w:val="single"/>
        </w:rPr>
        <w:t xml:space="preserve">установлено, что индикаторы, обозначенные в пункта 1 и 2 Перечня не работают на </w:t>
      </w:r>
      <w:r>
        <w:rPr>
          <w:sz w:val="24"/>
          <w:szCs w:val="24"/>
          <w:u w:val="single"/>
        </w:rPr>
        <w:t xml:space="preserve">практике</w:t>
      </w:r>
      <w:r>
        <w:rPr>
          <w:sz w:val="24"/>
          <w:szCs w:val="24"/>
          <w:u w:val="single"/>
        </w:rPr>
        <w:t xml:space="preserve">, система </w:t>
      </w:r>
      <w:r>
        <w:rPr>
          <w:sz w:val="24"/>
          <w:szCs w:val="24"/>
          <w:u w:val="single"/>
        </w:rPr>
        <w:t xml:space="preserve">категорирования</w:t>
      </w:r>
      <w:r>
        <w:rPr>
          <w:u w:val="single"/>
        </w:rPr>
        <w:t xml:space="preserve"> </w:t>
      </w:r>
      <w:r>
        <w:rPr>
          <w:sz w:val="24"/>
          <w:szCs w:val="24"/>
          <w:u w:val="single"/>
        </w:rPr>
        <w:t xml:space="preserve">объектов контроля</w:t>
      </w:r>
      <w:r>
        <w:rPr>
          <w:sz w:val="24"/>
          <w:szCs w:val="24"/>
          <w:u w:val="single"/>
        </w:rPr>
        <w:t xml:space="preserve"> подобна «перевернутой пирамиде»</w:t>
      </w:r>
      <w:r>
        <w:rPr>
          <w:sz w:val="24"/>
          <w:szCs w:val="24"/>
          <w:u w:val="single"/>
        </w:rPr>
        <w:t xml:space="preserve">.</w:t>
      </w:r>
      <w:r>
        <w:rPr>
          <w:u w:val="single"/>
        </w:rPr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613"/>
        <w:ind w:right="0"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Содержание регулирования: </w:t>
      </w:r>
      <w:r>
        <w:rPr>
          <w:rFonts w:eastAsia="Times New Roman" w:cs="Times New Roman"/>
          <w:color w:val="auto"/>
          <w:sz w:val="24"/>
          <w:szCs w:val="24"/>
          <w:u w:val="single"/>
          <w:lang w:val="ru-RU" w:bidi="ar-SA"/>
        </w:rPr>
        <w:t xml:space="preserve">проведение оценки регулирующего воздействия в отношении проекта постановления проводится в целях выявления положений, вводящих избыточные обязанности, запреты и ограничения контролируемых лиц на территории Нижегородской области.</w:t>
      </w:r>
      <w:r/>
    </w:p>
    <w:p>
      <w:pPr>
        <w:pStyle w:val="613"/>
        <w:ind w:right="0"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4. Возможные варианты достижения поставленной цели:</w:t>
      </w:r>
      <w:r/>
    </w:p>
    <w:p>
      <w:pPr>
        <w:pStyle w:val="613"/>
        <w:ind w:right="0"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Невмешательство: </w:t>
      </w:r>
      <w:r>
        <w:rPr>
          <w:sz w:val="24"/>
          <w:szCs w:val="24"/>
          <w:u w:val="single"/>
        </w:rPr>
        <w:t xml:space="preserve">вариант не предполагается.</w:t>
      </w:r>
      <w:r/>
    </w:p>
    <w:p>
      <w:pPr>
        <w:pStyle w:val="613"/>
        <w:ind w:right="0"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Совершенствование применения существующего регулирования: </w:t>
      </w:r>
      <w:r>
        <w:rPr>
          <w:rFonts w:eastAsia="Times New Roman" w:cs="Times New Roman"/>
          <w:color w:val="auto"/>
          <w:sz w:val="24"/>
          <w:szCs w:val="24"/>
          <w:u w:val="single"/>
          <w:lang w:val="ru-RU" w:bidi="ar-SA"/>
        </w:rPr>
        <w:t xml:space="preserve">предполагается совершенствование существующего регулирования.</w:t>
      </w:r>
      <w:r/>
    </w:p>
    <w:p>
      <w:pPr>
        <w:pStyle w:val="613"/>
        <w:ind w:right="0"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Саморегулирование: </w:t>
      </w:r>
      <w:r>
        <w:rPr>
          <w:sz w:val="24"/>
          <w:szCs w:val="24"/>
          <w:u w:val="single"/>
        </w:rPr>
        <w:t xml:space="preserve">вариант не предполагается.</w:t>
      </w:r>
      <w:r/>
    </w:p>
    <w:p>
      <w:pPr>
        <w:pStyle w:val="613"/>
        <w:ind w:right="0"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Прямое государственное регулирование: </w:t>
      </w:r>
      <w:r>
        <w:rPr>
          <w:rFonts w:eastAsia="Times New Roman" w:cs="Times New Roman"/>
          <w:color w:val="auto"/>
          <w:sz w:val="24"/>
          <w:szCs w:val="24"/>
          <w:u w:val="single"/>
          <w:lang w:val="ru-RU" w:eastAsia="zh-CN" w:bidi="ar-SA"/>
        </w:rPr>
        <w:t xml:space="preserve">Федеральный закон от 31 июля 2020 г. №248-ФЗ «О государственном контроле (надзоре) и муниципальном контроле в Российской Федерации».</w:t>
      </w:r>
      <w:r/>
    </w:p>
    <w:p>
      <w:pPr>
        <w:pStyle w:val="613"/>
        <w:ind w:right="0"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Иной вариант достижения поставленной цели: </w:t>
      </w:r>
      <w:r>
        <w:rPr>
          <w:sz w:val="24"/>
          <w:szCs w:val="24"/>
          <w:u w:val="single"/>
        </w:rPr>
        <w:t xml:space="preserve">вариант не предполагается.</w:t>
      </w:r>
      <w:r/>
    </w:p>
    <w:p>
      <w:pPr>
        <w:pStyle w:val="613"/>
        <w:ind w:right="0"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Какие инструменты могут быть использованы для достижения поставленной цели? </w:t>
      </w:r>
      <w:r>
        <w:rPr>
          <w:sz w:val="24"/>
          <w:szCs w:val="24"/>
          <w:u w:val="single"/>
        </w:rPr>
        <w:t xml:space="preserve">Для достижения поставленной цели разработан настоящий проект постановления. </w:t>
      </w:r>
      <w:r/>
    </w:p>
    <w:p>
      <w:pPr>
        <w:pStyle w:val="613"/>
        <w:ind w:right="0"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Качественное описание  и количественная (финансовая) оценка соответствующего воздействия (если возможно): </w:t>
      </w:r>
      <w:r>
        <w:rPr>
          <w:sz w:val="24"/>
          <w:szCs w:val="24"/>
          <w:u w:val="single"/>
        </w:rPr>
        <w:t xml:space="preserve">в рассматриваемой ситуации произвести качественное описание и количественную оценку соответствующего воздействия не представляется возможным.</w:t>
      </w:r>
      <w:r/>
    </w:p>
    <w:p>
      <w:pPr>
        <w:pStyle w:val="634"/>
        <w:ind w:right="0" w:firstLine="709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Ключевые показатели достижения целей регулирования (со сроками оценки достижения, если возможно): </w:t>
      </w:r>
      <w:r>
        <w:rPr>
          <w:b w:val="0"/>
          <w:sz w:val="24"/>
          <w:szCs w:val="24"/>
          <w:u w:val="single"/>
          <w:shd w:val="clear" w:color="auto" w:fill="ffffff"/>
        </w:rPr>
        <w:t xml:space="preserve">отсутствуют.</w:t>
      </w:r>
      <w:r/>
    </w:p>
    <w:p>
      <w:pPr>
        <w:pStyle w:val="634"/>
        <w:ind w:righ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 Публичные консультации:</w:t>
      </w:r>
      <w:r/>
    </w:p>
    <w:p>
      <w:pPr>
        <w:pStyle w:val="634"/>
        <w:ind w:right="0" w:firstLine="709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Стороны, с которыми были проведены публичные консультации: </w:t>
      </w:r>
      <w:r>
        <w:rPr>
          <w:rFonts w:eastAsia="Times New Roman" w:cs="Times New Roman"/>
          <w:b w:val="0"/>
          <w:color w:val="000000"/>
          <w:sz w:val="24"/>
          <w:szCs w:val="24"/>
          <w:u w:val="single"/>
          <w:shd w:val="clear" w:color="auto" w:fill="ffffff"/>
          <w:lang w:val="ru-RU" w:bidi="ar-SA"/>
        </w:rPr>
        <w:t xml:space="preserve">в целях проведения публичных консультаций проект постановления был размещен на о</w:t>
      </w:r>
      <w:r>
        <w:rPr>
          <w:rFonts w:eastAsia="Times New Roman" w:cs="Times New Roman"/>
          <w:b w:val="0"/>
          <w:color w:val="000000"/>
          <w:sz w:val="24"/>
          <w:szCs w:val="24"/>
          <w:u w:val="single"/>
          <w:shd w:val="clear" w:color="auto" w:fill="ffffff"/>
          <w:lang w:val="ru-RU" w:bidi="ar-SA"/>
        </w:rPr>
        <w:t xml:space="preserve">фициальных сайтах Правительства Нижегородской области и комитета с уведомлением о способах, сроках и форме направления участниками публичных консультаций своих предложений и замечаний (посредством электронной почты и на бумажном носителе) в адрес комитета.</w:t>
      </w:r>
      <w:r/>
    </w:p>
    <w:p>
      <w:pPr>
        <w:pStyle w:val="634"/>
        <w:ind w:right="0" w:firstLine="709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Основные результаты публичных консультаций: </w:t>
      </w:r>
      <w:r>
        <w:rPr>
          <w:b w:val="0"/>
          <w:sz w:val="24"/>
          <w:szCs w:val="24"/>
          <w:u w:val="single"/>
        </w:rPr>
        <w:t xml:space="preserve">замечаний и (или) предложений  по проекту постановления не поступало.</w:t>
      </w:r>
      <w:r/>
    </w:p>
    <w:p>
      <w:pPr>
        <w:pStyle w:val="634"/>
        <w:ind w:righ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6. Рекомендуемый вариант регулирующего решения:</w:t>
      </w:r>
      <w:r/>
    </w:p>
    <w:p>
      <w:pPr>
        <w:pStyle w:val="634"/>
        <w:ind w:right="0" w:firstLine="709"/>
        <w:jc w:val="both"/>
        <w:rPr>
          <w:b w:val="0"/>
          <w:u w:val="single"/>
        </w:rPr>
      </w:pPr>
      <w:r>
        <w:rPr>
          <w:b w:val="0"/>
          <w:sz w:val="24"/>
          <w:szCs w:val="24"/>
        </w:rPr>
        <w:t xml:space="preserve">Описание выбранного варианта (приня</w:t>
      </w:r>
      <w:r>
        <w:rPr>
          <w:b w:val="0"/>
          <w:sz w:val="24"/>
          <w:szCs w:val="24"/>
        </w:rPr>
        <w:t xml:space="preserve">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законодательства, сохранение действующего режима регулирования): </w:t>
      </w:r>
      <w:r>
        <w:rPr>
          <w:b w:val="0"/>
          <w:sz w:val="24"/>
          <w:szCs w:val="24"/>
          <w:u w:val="single"/>
        </w:rPr>
        <w:t xml:space="preserve">регулирующим решением является принятие нормативного правового акта.</w:t>
      </w:r>
      <w:r/>
    </w:p>
    <w:p>
      <w:pPr>
        <w:pStyle w:val="634"/>
        <w:ind w:right="0" w:firstLine="709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Ожидаемые выгоды и издержки от реализации выбранного варианта: </w:t>
      </w:r>
      <w:r>
        <w:rPr>
          <w:b w:val="0"/>
          <w:sz w:val="24"/>
          <w:szCs w:val="24"/>
          <w:u w:val="single"/>
        </w:rPr>
        <w:t xml:space="preserve">издержки от реализации принятого нормативного правового акта не ожидаются.</w:t>
      </w:r>
      <w:r/>
    </w:p>
    <w:p>
      <w:pPr>
        <w:pStyle w:val="634"/>
        <w:ind w:right="0" w:firstLine="709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Необходимые меры, позволяющие минимизировать негативные последствия применения соответствующего варианта: </w:t>
      </w:r>
      <w:r>
        <w:rPr>
          <w:b w:val="0"/>
          <w:sz w:val="24"/>
          <w:szCs w:val="24"/>
          <w:u w:val="single"/>
        </w:rPr>
        <w:t xml:space="preserve">негативных последствий от принятия проекта не предполагается.</w:t>
      </w:r>
      <w:r/>
    </w:p>
    <w:p>
      <w:pPr>
        <w:pStyle w:val="634"/>
        <w:ind w:right="0" w:firstLine="709"/>
        <w:jc w:val="both"/>
        <w:rPr>
          <w:sz w:val="24"/>
          <w:szCs w:val="24"/>
        </w:rPr>
      </w:pPr>
      <w:r>
        <w:rPr>
          <w:b w:val="0"/>
          <w:sz w:val="24"/>
          <w:szCs w:val="24"/>
          <w:u w:val="none"/>
        </w:rPr>
        <w:t xml:space="preserve">Описание воздействия вводимого регулирования на состояние конкуренции в Нижегородской области в регулируемой сфере деятельности:</w:t>
      </w:r>
      <w:r>
        <w:rPr>
          <w:b w:val="0"/>
          <w:sz w:val="24"/>
          <w:szCs w:val="24"/>
          <w:u w:val="single"/>
        </w:rPr>
        <w:t xml:space="preserve"> негативных последствий на состояние конкуренции от принятия проекта нормативного правового акта не предполагается.</w:t>
      </w:r>
      <w:r/>
    </w:p>
    <w:p>
      <w:pPr>
        <w:pStyle w:val="634"/>
        <w:ind w:right="0" w:firstLine="709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Период воздействия (кратко-, средне- или долгосрочный): </w:t>
      </w:r>
      <w:r>
        <w:rPr>
          <w:b w:val="0"/>
          <w:sz w:val="24"/>
          <w:szCs w:val="24"/>
          <w:u w:val="single"/>
        </w:rPr>
        <w:t xml:space="preserve">долгосрочный, с момента официального опубликования.</w:t>
      </w:r>
      <w:r/>
    </w:p>
    <w:p>
      <w:pPr>
        <w:pStyle w:val="634"/>
        <w:ind w:right="0" w:firstLine="709"/>
        <w:jc w:val="both"/>
      </w:pPr>
      <w:r>
        <w:rPr>
          <w:b w:val="0"/>
          <w:sz w:val="24"/>
          <w:szCs w:val="24"/>
        </w:rPr>
        <w:t xml:space="preserve">7. Информация об исполнителях: </w:t>
      </w:r>
      <w:r>
        <w:rPr>
          <w:b w:val="0"/>
          <w:bCs w:val="0"/>
          <w:sz w:val="24"/>
          <w:szCs w:val="24"/>
          <w:u w:val="single"/>
        </w:rPr>
        <w:t xml:space="preserve">Мацуева Елена Алексеевна, ведущий консультант отдела контрольно-надзорной деятельности, бюджетного планирования и финансового анализа комитета</w:t>
      </w:r>
      <w:r>
        <w:rPr>
          <w:b w:val="0"/>
          <w:sz w:val="24"/>
          <w:szCs w:val="24"/>
          <w:u w:val="single"/>
        </w:rPr>
        <w:t xml:space="preserve">, (831) 437 06 11, </w:t>
      </w:r>
      <w:hyperlink r:id="rId10" w:tooltip="mailto:macueva@arhiv.kreml.nnov.ru" w:history="1">
        <w:r>
          <w:rPr>
            <w:rStyle w:val="621"/>
            <w:b w:val="0"/>
            <w:sz w:val="24"/>
            <w:szCs w:val="24"/>
            <w:u w:val="single"/>
          </w:rPr>
          <w:t xml:space="preserve">macueva@arhiv.kreml.nnov.ru</w:t>
        </w:r>
      </w:hyperlink>
      <w:r>
        <w:rPr>
          <w:b w:val="0"/>
          <w:sz w:val="24"/>
          <w:szCs w:val="24"/>
          <w:u w:val="single"/>
        </w:rPr>
        <w:t xml:space="preserve">.</w:t>
      </w:r>
      <w:r/>
    </w:p>
    <w:p>
      <w:pPr>
        <w:pStyle w:val="634"/>
        <w:ind w:right="0" w:firstLine="709"/>
        <w:jc w:val="center"/>
        <w:rPr>
          <w:sz w:val="20"/>
          <w:szCs w:val="20"/>
        </w:rPr>
      </w:pPr>
      <w:r>
        <w:rPr>
          <w:b w:val="0"/>
          <w:sz w:val="20"/>
          <w:szCs w:val="20"/>
        </w:rPr>
        <w:t xml:space="preserve">(Ф.И.О., телефон, адрес электронной почты исполнителя)</w:t>
      </w:r>
      <w:r/>
    </w:p>
    <w:p>
      <w:pPr>
        <w:pStyle w:val="634"/>
        <w:ind w:righ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</w:r>
      <w:r/>
    </w:p>
    <w:p>
      <w:pPr>
        <w:pStyle w:val="634"/>
        <w:ind w:right="0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634"/>
        <w:ind w:right="0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</w:r>
      <w:r/>
    </w:p>
    <w:p>
      <w:pPr>
        <w:pStyle w:val="634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Р</w:t>
      </w:r>
      <w:r>
        <w:rPr>
          <w:b w:val="0"/>
          <w:sz w:val="24"/>
          <w:szCs w:val="24"/>
        </w:rPr>
        <w:t xml:space="preserve">уководител</w:t>
      </w:r>
      <w:r>
        <w:rPr>
          <w:b w:val="0"/>
          <w:sz w:val="24"/>
          <w:szCs w:val="24"/>
        </w:rPr>
        <w:t xml:space="preserve">ь</w:t>
      </w:r>
      <w:r>
        <w:rPr>
          <w:b w:val="0"/>
          <w:sz w:val="24"/>
          <w:szCs w:val="24"/>
        </w:rPr>
        <w:t xml:space="preserve"> комитета</w:t>
      </w:r>
      <w:r>
        <w:rPr>
          <w:b w:val="0"/>
          <w:sz w:val="24"/>
          <w:szCs w:val="24"/>
          <w:u w:val="single"/>
        </w:rPr>
        <w:tab/>
        <w:tab/>
        <w:tab/>
        <w:tab/>
        <w:tab/>
        <w:tab/>
        <w:tab/>
        <w:t xml:space="preserve">            </w:t>
      </w:r>
      <w:r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 xml:space="preserve">Б.М.Пудалов</w:t>
      </w:r>
      <w:r/>
    </w:p>
    <w:p>
      <w:pPr>
        <w:pStyle w:val="634"/>
        <w:jc w:val="center"/>
        <w:rPr>
          <w:sz w:val="20"/>
          <w:szCs w:val="20"/>
        </w:rPr>
      </w:pPr>
      <w:r>
        <w:rPr>
          <w:b w:val="0"/>
          <w:sz w:val="20"/>
          <w:szCs w:val="20"/>
        </w:rPr>
        <w:t xml:space="preserve">(подпись руководителя регулирующего органа)</w:t>
      </w:r>
      <w:r/>
    </w:p>
    <w:sectPr>
      <w:headerReference w:type="default" r:id="rId9"/>
      <w:footnotePr/>
      <w:endnotePr/>
      <w:type w:val="nextPage"/>
      <w:pgSz w:w="11906" w:h="16838" w:orient="portrait"/>
      <w:pgMar w:top="1276" w:right="850" w:bottom="850" w:left="1134" w:header="85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 Sans">
    <w:panose1 w:val="020B0606030504020204"/>
  </w:font>
  <w:font w:name="Wingdings">
    <w:panose1 w:val="05010000000000000000"/>
  </w:font>
  <w:font w:name="Symbol">
    <w:panose1 w:val="05010000000000000000"/>
  </w:font>
  <w:font w:name="Times New Roman CYR">
    <w:panose1 w:val="02020603050405020304"/>
  </w:font>
  <w:font w:name="Times New Roman">
    <w:panose1 w:val="02020603050405020304"/>
  </w:font>
  <w:font w:name="Arial">
    <w:panose1 w:val="020B0604020202020204"/>
  </w:font>
  <w:font w:name="Courier New">
    <w:panose1 w:val="02070309020205020404"/>
  </w:font>
  <w:font w:name="Lohit Devanagari">
    <w:panose1 w:val="020B0600000000000000"/>
  </w:font>
  <w:font w:name="Tahoma">
    <w:panose1 w:val="020B0604030504040204"/>
  </w:font>
  <w:font w:name="Tempora LGC Uni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0"/>
      <w:rPr>
        <w:sz w:val="12"/>
        <w:szCs w:val="12"/>
      </w:rPr>
    </w:pPr>
    <w:r>
      <w:rPr>
        <w:sz w:val="12"/>
        <w:szCs w:val="12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empora LGC Uni" w:hAnsi="Tempora LGC Uni" w:eastAsia="Tahoma" w:cs="Lohit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"/>
    <w:link w:val="6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3"/>
    <w:next w:val="6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3"/>
    <w:next w:val="6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3"/>
    <w:next w:val="6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3"/>
    <w:next w:val="61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3"/>
    <w:next w:val="6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3"/>
    <w:next w:val="61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3"/>
    <w:next w:val="6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3"/>
    <w:next w:val="6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3"/>
    <w:next w:val="6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3"/>
    <w:next w:val="6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3"/>
    <w:next w:val="6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3"/>
    <w:next w:val="6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11"/>
    <w:link w:val="630"/>
    <w:uiPriority w:val="99"/>
  </w:style>
  <w:style w:type="paragraph" w:styleId="44">
    <w:name w:val="Footer"/>
    <w:basedOn w:val="61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character" w:styleId="47">
    <w:name w:val="Caption Char"/>
    <w:basedOn w:val="627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ebe03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43c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dba" w:themeFill="accent1" w:themeFillTint="34"/>
    </w:tblPr>
    <w:tblStylePr w:type="band1Horz">
      <w:tcPr>
        <w:shd w:val="clear" w:color="ffffff" w:themeColor="accent1" w:themeTint="75" w:fill="79fb64" w:themeFill="accent1" w:themeFillTint="75"/>
      </w:tcPr>
    </w:tblStylePr>
    <w:tblStylePr w:type="band1Vert">
      <w:tcPr>
        <w:shd w:val="clear" w:color="ffffff" w:themeColor="accent1" w:themeTint="75" w:fill="79fb6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ce7fd" w:themeFill="accent2" w:themeFillTint="32"/>
    </w:tblPr>
    <w:tblStylePr w:type="band1Horz">
      <w:tcPr>
        <w:shd w:val="clear" w:color="ffffff" w:themeColor="accent2" w:themeTint="75" w:fill="64c8fb" w:themeFill="accent2" w:themeFillTint="75"/>
      </w:tcPr>
    </w:tblStylePr>
    <w:tblStylePr w:type="band1Vert">
      <w:tcPr>
        <w:shd w:val="clear" w:color="ffffff" w:themeColor="accent2" w:themeTint="75" w:fill="64c8fb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dd2ba" w:themeFill="accent3" w:themeFillTint="34"/>
    </w:tblPr>
    <w:tblStylePr w:type="band1Horz">
      <w:tcPr>
        <w:shd w:val="clear" w:color="ffffff" w:themeColor="accent3" w:themeTint="75" w:fill="fb9964" w:themeFill="accent3" w:themeFillTint="75"/>
      </w:tcPr>
    </w:tblStylePr>
    <w:tblStylePr w:type="band1Vert">
      <w:tcPr>
        <w:shd w:val="clear" w:color="ffffff" w:themeColor="accent3" w:themeTint="75" w:fill="fb9964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3bafd" w:themeFill="accent4" w:themeFillTint="34"/>
    </w:tblPr>
    <w:tblStylePr w:type="band1Horz">
      <w:tcPr>
        <w:shd w:val="clear" w:color="ffffff" w:themeColor="accent4" w:themeTint="75" w:fill="e464fb" w:themeFill="accent4" w:themeFillTint="75"/>
      </w:tcPr>
    </w:tblStylePr>
    <w:tblStylePr w:type="band1Vert">
      <w:tcPr>
        <w:shd w:val="clear" w:color="ffffff" w:themeColor="accent4" w:themeTint="75" w:fill="e464fb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fbf" w:themeFill="accent5" w:themeFillTint="34"/>
    </w:tblPr>
    <w:tblStylePr w:type="band1Horz">
      <w:tcPr>
        <w:shd w:val="clear" w:color="ffffff" w:themeColor="accent5" w:themeTint="75" w:fill="ffdb71" w:themeFill="accent5" w:themeFillTint="75"/>
      </w:tcPr>
    </w:tblStylePr>
    <w:tblStylePr w:type="band1Vert">
      <w:tcPr>
        <w:shd w:val="clear" w:color="ffffff" w:themeColor="accent5" w:themeTint="75" w:fill="ffdb71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cccc" w:themeFill="accent6" w:themeFillTint="34"/>
    </w:tblPr>
    <w:tblStylePr w:type="band1Horz">
      <w:tcPr>
        <w:shd w:val="clear" w:color="ffffff" w:themeColor="accent6" w:themeTint="75" w:fill="ee8f8f" w:themeFill="accent6" w:themeFillTint="75"/>
      </w:tcPr>
    </w:tblStylePr>
    <w:tblStylePr w:type="band1Vert">
      <w:tcPr>
        <w:shd w:val="clear" w:color="ffffff" w:themeColor="accent6" w:themeTint="75" w:fill="ee8f8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ebf04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1ebf04" w:themeColor="accent1" w:themeTint="80" w:themeShade="95"/>
        <w:sz w:val="22"/>
      </w:rPr>
    </w:tblStylePr>
    <w:tblStylePr w:type="firstCol">
      <w:rPr>
        <w:rFonts w:ascii="Arial" w:hAnsi="Arial"/>
        <w:i/>
        <w:color w:val="1ebf0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ebf0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e2201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5e2201" w:themeColor="accent3" w:themeTint="FE" w:themeShade="95"/>
        <w:sz w:val="22"/>
      </w:rPr>
    </w:tblStylePr>
    <w:tblStylePr w:type="firstCol">
      <w:rPr>
        <w:rFonts w:ascii="Arial" w:hAnsi="Arial"/>
        <w:i/>
        <w:color w:val="5e2201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e2201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74570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745700" w:themeColor="accent5" w:themeShade="95"/>
        <w:sz w:val="22"/>
      </w:rPr>
    </w:tblStylePr>
    <w:tblStylePr w:type="firstCol">
      <w:rPr>
        <w:rFonts w:ascii="Arial" w:hAnsi="Arial"/>
        <w:i/>
        <w:color w:val="745700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745700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741111" w:themeColor="accent6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741111" w:themeColor="accent6" w:themeShade="95"/>
        <w:sz w:val="22"/>
      </w:rPr>
    </w:tblStylePr>
    <w:tblStylePr w:type="firstCol">
      <w:rPr>
        <w:rFonts w:ascii="Arial" w:hAnsi="Arial"/>
        <w:i/>
        <w:color w:val="741111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741111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blStylePr w:type="band1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6b8fb" w:themeFill="accent2" w:themeFillTint="97"/>
    </w:tblPr>
    <w:tblStylePr w:type="band1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a7a35" w:themeFill="accent3" w:themeFillTint="98"/>
    </w:tblPr>
    <w:tblStylePr w:type="band1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fa7a3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c33fa" w:themeFill="accent4" w:themeFillTint="9A"/>
    </w:tblPr>
    <w:tblStylePr w:type="band1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042" w:themeFill="accent5" w:themeFillTint="9A"/>
    </w:tblPr>
    <w:tblStylePr w:type="band1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ffd042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6e6e" w:themeFill="accent6" w:themeFillTint="98"/>
    </w:tblPr>
    <w:tblStylePr w:type="band1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e96e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e5e01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0e5e01" w:themeColor="accent1" w:themeShade="95"/>
        <w:sz w:val="22"/>
      </w:rPr>
    </w:tblStylePr>
    <w:tblStylePr w:type="firstCol">
      <w:rPr>
        <w:rFonts w:ascii="Arial" w:hAnsi="Arial"/>
        <w:i/>
        <w:color w:val="0e5e0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e5e0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e5e0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378ae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ab3b04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ab3b04" w:themeColor="accent3" w:themeTint="98" w:themeShade="95"/>
        <w:sz w:val="22"/>
      </w:rPr>
    </w:tblStylePr>
    <w:tblStylePr w:type="firstCol">
      <w:rPr>
        <w:rFonts w:ascii="Arial" w:hAnsi="Arial"/>
        <w:i/>
        <w:color w:val="ab3b04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ab3b04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ab3b04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104ab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ba870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ba8700" w:themeColor="accent5" w:themeTint="9A" w:themeShade="95"/>
        <w:sz w:val="22"/>
      </w:rPr>
    </w:tblStylePr>
    <w:tblStylePr w:type="firstCol">
      <w:rPr>
        <w:rFonts w:ascii="Arial" w:hAnsi="Arial"/>
        <w:i/>
        <w:color w:val="ba870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ba870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ba870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ad1a1a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ad1a1a" w:themeColor="accent6" w:themeTint="98" w:themeShade="95"/>
        <w:sz w:val="22"/>
      </w:rPr>
    </w:tblStylePr>
    <w:tblStylePr w:type="firstCol">
      <w:rPr>
        <w:rFonts w:ascii="Arial" w:hAnsi="Arial"/>
        <w:i/>
        <w:color w:val="ad1a1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ad1a1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ad1a1a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3"/>
    <w:next w:val="6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3"/>
    <w:next w:val="6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3"/>
    <w:next w:val="6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3"/>
    <w:next w:val="6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3"/>
    <w:next w:val="6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3"/>
    <w:next w:val="6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3"/>
    <w:next w:val="6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3"/>
    <w:next w:val="6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3"/>
    <w:next w:val="6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3"/>
    <w:next w:val="613"/>
    <w:uiPriority w:val="99"/>
    <w:unhideWhenUsed/>
    <w:pPr>
      <w:spacing w:after="0" w:afterAutospacing="0"/>
    </w:pPr>
  </w:style>
  <w:style w:type="paragraph" w:styleId="613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614">
    <w:name w:val="Heading 1"/>
    <w:basedOn w:val="613"/>
    <w:next w:val="613"/>
    <w:qFormat/>
    <w:pPr>
      <w:numPr>
        <w:ilvl w:val="0"/>
        <w:numId w:val="1"/>
      </w:numPr>
      <w:jc w:val="center"/>
      <w:spacing w:before="108" w:after="108"/>
      <w:widowControl w:val="off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styleId="615">
    <w:name w:val="WW8Num1z0"/>
    <w:qFormat/>
    <w:rPr>
      <w:rFonts w:ascii="Symbol" w:hAnsi="Symbol" w:cs="Symbol"/>
    </w:rPr>
  </w:style>
  <w:style w:type="character" w:styleId="616">
    <w:name w:val="WW8Num1z1"/>
    <w:qFormat/>
    <w:rPr>
      <w:rFonts w:ascii="Courier New" w:hAnsi="Courier New" w:cs="Courier New"/>
    </w:rPr>
  </w:style>
  <w:style w:type="character" w:styleId="617">
    <w:name w:val="WW8Num1z2"/>
    <w:qFormat/>
    <w:rPr>
      <w:rFonts w:ascii="Wingdings" w:hAnsi="Wingdings" w:cs="Wingdings"/>
    </w:rPr>
  </w:style>
  <w:style w:type="character" w:styleId="618">
    <w:name w:val="Основной шрифт абзаца"/>
    <w:qFormat/>
  </w:style>
  <w:style w:type="character" w:styleId="619">
    <w:name w:val="Page Number"/>
    <w:basedOn w:val="618"/>
  </w:style>
  <w:style w:type="character" w:styleId="620">
    <w:name w:val="Font Style22"/>
    <w:qFormat/>
    <w:rPr>
      <w:rFonts w:ascii="Times New Roman" w:hAnsi="Times New Roman" w:cs="Times New Roman"/>
      <w:sz w:val="26"/>
      <w:szCs w:val="26"/>
    </w:rPr>
  </w:style>
  <w:style w:type="character" w:styleId="621">
    <w:name w:val="Hyperlink"/>
    <w:rPr>
      <w:color w:val="0563c1"/>
      <w:u w:val="single"/>
    </w:rPr>
  </w:style>
  <w:style w:type="character" w:styleId="622">
    <w:name w:val="Заголовок 1 Знак"/>
    <w:qFormat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styleId="623">
    <w:name w:val="Гипертекстовая ссылка"/>
    <w:qFormat/>
    <w:rPr>
      <w:b w:val="0"/>
      <w:bCs w:val="0"/>
      <w:color w:val="106bbe"/>
    </w:rPr>
  </w:style>
  <w:style w:type="paragraph" w:styleId="624">
    <w:name w:val="Заголовок"/>
    <w:basedOn w:val="613"/>
    <w:next w:val="625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625">
    <w:name w:val="Body Text"/>
    <w:basedOn w:val="613"/>
    <w:pPr>
      <w:spacing w:before="0" w:after="140" w:line="276" w:lineRule="auto"/>
    </w:pPr>
  </w:style>
  <w:style w:type="paragraph" w:styleId="626">
    <w:name w:val="List"/>
    <w:basedOn w:val="625"/>
    <w:rPr>
      <w:rFonts w:cs="Lohit Devanagari"/>
    </w:rPr>
  </w:style>
  <w:style w:type="paragraph" w:styleId="627">
    <w:name w:val="Caption"/>
    <w:basedOn w:val="613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628">
    <w:name w:val="Указатель"/>
    <w:basedOn w:val="613"/>
    <w:qFormat/>
    <w:pPr>
      <w:suppressLineNumbers/>
    </w:pPr>
    <w:rPr>
      <w:rFonts w:cs="Lohit Devanagari"/>
    </w:rPr>
  </w:style>
  <w:style w:type="paragraph" w:styleId="629">
    <w:name w:val="Колонтитул"/>
    <w:basedOn w:val="613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630">
    <w:name w:val="Header"/>
    <w:basedOn w:val="613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31">
    <w:name w:val="Текст выноски"/>
    <w:basedOn w:val="613"/>
    <w:qFormat/>
    <w:rPr>
      <w:rFonts w:ascii="Tahoma" w:hAnsi="Tahoma" w:cs="Tahoma"/>
      <w:sz w:val="16"/>
      <w:szCs w:val="16"/>
    </w:rPr>
  </w:style>
  <w:style w:type="paragraph" w:styleId="632">
    <w:name w:val="Style13"/>
    <w:basedOn w:val="613"/>
    <w:qFormat/>
    <w:pPr>
      <w:ind w:left="0" w:right="0" w:firstLine="720"/>
      <w:jc w:val="both"/>
      <w:spacing w:line="365" w:lineRule="exact"/>
      <w:widowControl w:val="off"/>
    </w:pPr>
  </w:style>
  <w:style w:type="paragraph" w:styleId="633">
    <w:name w:val="ConsPlus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2"/>
      <w:szCs w:val="22"/>
      <w:lang w:val="ru-RU" w:eastAsia="zh-CN" w:bidi="ar-SA"/>
    </w:rPr>
  </w:style>
  <w:style w:type="paragraph" w:styleId="634">
    <w:name w:val="ConsPlusTitle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b/>
      <w:color w:val="auto"/>
      <w:sz w:val="24"/>
      <w:szCs w:val="20"/>
      <w:lang w:val="ru-RU" w:eastAsia="zh-CN" w:bidi="ar-SA"/>
    </w:rPr>
  </w:style>
  <w:style w:type="paragraph" w:styleId="635">
    <w:name w:val="Текст"/>
    <w:basedOn w:val="613"/>
    <w:qFormat/>
    <w:rPr>
      <w:rFonts w:ascii="Courier New" w:hAnsi="Courier New" w:cs="Courier New"/>
      <w:sz w:val="20"/>
      <w:szCs w:val="20"/>
    </w:rPr>
  </w:style>
  <w:style w:type="paragraph" w:styleId="636">
    <w:name w:val="Без интервала"/>
    <w:qFormat/>
    <w:pPr>
      <w:jc w:val="left"/>
      <w:spacing w:before="0" w:after="0"/>
      <w:widowControl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637">
    <w:name w:val="Обычный (веб)"/>
    <w:basedOn w:val="613"/>
    <w:qFormat/>
    <w:pPr>
      <w:spacing w:before="280" w:after="280"/>
    </w:pPr>
  </w:style>
  <w:style w:type="paragraph" w:styleId="638">
    <w:name w:val="Содержимое врезки"/>
    <w:basedOn w:val="613"/>
    <w:qFormat/>
  </w:style>
  <w:style w:type="numbering" w:styleId="639">
    <w:name w:val="WW8Num1"/>
    <w:qFormat/>
  </w:style>
  <w:style w:type="character" w:styleId="861" w:default="1">
    <w:name w:val="Default Paragraph Font"/>
    <w:uiPriority w:val="1"/>
    <w:semiHidden/>
    <w:unhideWhenUsed/>
  </w:style>
  <w:style w:type="numbering" w:styleId="862" w:default="1">
    <w:name w:val="No List"/>
    <w:uiPriority w:val="99"/>
    <w:semiHidden/>
    <w:unhideWhenUsed/>
  </w:style>
  <w:style w:type="table" w:styleId="863" w:default="1">
    <w:name w:val="Normal Table"/>
    <w:uiPriority w:val="99"/>
    <w:semiHidden/>
    <w:unhideWhenUsed/>
    <w:tblPr/>
  </w:style>
  <w:style w:type="character" w:styleId="1_1240" w:customStyle="1">
    <w:name w:val="Strong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macueva@arhiv.kreml.nn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potehin</dc:creator>
  <dc:description/>
  <dc:language>ru-RU</dc:language>
  <cp:revision>31</cp:revision>
  <dcterms:created xsi:type="dcterms:W3CDTF">2020-08-17T09:49:00Z</dcterms:created>
  <dcterms:modified xsi:type="dcterms:W3CDTF">2025-11-14T12:30:01Z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