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8.722066766448"/>
        <w:gridCol w:w="3744.4685364742636"/>
        <w:gridCol w:w="2312.3212077829116"/>
        <w:tblGridChange w:id="0">
          <w:tblGrid>
            <w:gridCol w:w="2968.722066766448"/>
            <w:gridCol w:w="3744.4685364742636"/>
            <w:gridCol w:w="2312.3212077829116"/>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XV заседания межведомственного координационного совета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 при Губернаторе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25 декабря 2012 г.</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15</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Председатель</w:t>
      </w:r>
      <w:r w:rsidDel="00000000" w:rsidR="00000000" w:rsidRPr="00000000">
        <w:rPr>
          <w:rFonts w:ascii="Times New Roman" w:cs="Times New Roman" w:eastAsia="Times New Roman" w:hAnsi="Times New Roman"/>
          <w:color w:val="333333"/>
          <w:sz w:val="29"/>
          <w:szCs w:val="29"/>
          <w:rtl w:val="0"/>
        </w:rPr>
        <w:t xml:space="preserve"> – Губернатор Нижегородской области </w:t>
      </w:r>
      <w:r w:rsidDel="00000000" w:rsidR="00000000" w:rsidRPr="00000000">
        <w:rPr>
          <w:rFonts w:ascii="Times New Roman" w:cs="Times New Roman" w:eastAsia="Times New Roman" w:hAnsi="Times New Roman"/>
          <w:b w:val="1"/>
          <w:color w:val="333333"/>
          <w:sz w:val="29"/>
          <w:szCs w:val="29"/>
          <w:rtl w:val="0"/>
        </w:rPr>
        <w:t xml:space="preserve">В.П.Шанцев</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18.521810540555"/>
        <w:gridCol w:w="2201.0067146514666"/>
        <w:gridCol w:w="705.9832858316025"/>
        <w:tblGridChange w:id="0">
          <w:tblGrid>
            <w:gridCol w:w="6118.521810540555"/>
            <w:gridCol w:w="2201.0067146514666"/>
            <w:gridCol w:w="705.9832858316025"/>
          </w:tblGrid>
        </w:tblGridChange>
      </w:tblGrid>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Присутствовали</w:t>
            </w:r>
            <w:r w:rsidDel="00000000" w:rsidR="00000000" w:rsidRPr="00000000">
              <w:rPr>
                <w:color w:val="333333"/>
                <w:sz w:val="23"/>
                <w:szCs w:val="23"/>
                <w:rtl w:val="0"/>
              </w:rPr>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Совета:</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государственной регистрации, кадастра и картографии       </w:t>
              <w:tab/>
              <w:t xml:space="preserve">по Нижегородской области</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И.В.Бердникова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миграционной службы по Нижегородской области</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В.М.Бриккер</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Федеральной службы исполнения наказаний Российской Федерации по Нижегородской области</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В.А.Дежуров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юстиции Российской Федерации по Нижегородской области</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Г.Ф.Игнатович</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региональной безопасности и мобилизационной подготовки Нижегородской области – ответственный секретарь Совета</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А.Г.Комлев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судебных приставов по Нижегородской области - главный судебный пристав Нижегородской области</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И.Ю.Корсаков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Законодательного Собрания  Нижегородской области</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Е.В.Лебедев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Л.Д.Литвиненко</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государственной гражданской          </w:t>
              <w:tab/>
              <w:t xml:space="preserve">и муниципальной службы аппарата Правительства Нижегородской области</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Л.А.Максимычева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безопасности Российской Федерации по Нижегородской области</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В.В.Назаров</w:t>
            </w:r>
          </w:p>
        </w:tc>
      </w:tr>
      <w:tr>
        <w:trPr>
          <w:cantSplit w:val="0"/>
          <w:trHeight w:val="19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аппарата Правительства Нижегородской области - министр Правительства Нижегородской</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области – заместитель председателя Совета</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А.И.Силаев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Общественной палаты Нижегородской  области</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Р.Г.Стронгин</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Нижегородской области</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А.А.Шиканов</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контрольно-счетной палаты Нижегородской области</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Е.Б.Букарева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Главный федеральный инспектор по Нижегородской области</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П.В.Жданов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Нижегородской таможни</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П.А.Зайцев</w:t>
            </w:r>
          </w:p>
        </w:tc>
      </w:tr>
      <w:tr>
        <w:trPr>
          <w:cantSplit w:val="0"/>
          <w:trHeight w:val="24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отдела финансовых расследований Межрегионального управления Федеральной службы Российской Федерации по финансовому мониторингу по Приволжскому федеральному округу</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М.С.Занозин</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начальника Управления Федеральной службы Российской Федерации по контролю за оборотом наркотиков по Нижегородской области</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Ю.М.Иванов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Прокурор Нижегородской области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К.М.Кожевников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государственного имущества и земельных ресурсов Нижегородской области</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А.В.Макаров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Приволжского транспортного прокурора</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В.В.Некаев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Юрисконсульт отдела по работе с законодательством департамента правовой работы Торгово-промышленной палаты Нижегородской области</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И.А.Разуваев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генерального директора Торгово-промышленной палаты Нижегородской области</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А.А.Самсонова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В.В.Стравинскас</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администрации Кулебакского муниципального района Нижегородской области</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Л.А.Узякова</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специальной связи и информации Федеральной службы охраны Российской Федерации в Приволжском федеральном округе</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Е.В.Чемаров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Общественного комитета по противодействию коррупции при Торгово-промышленной палате Нижегородской области</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А.Ю.Чупрова</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 транспорте Министерства внутренних дел Российской Федерации по Приволжскому федеральному округу</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К.А.Юдин</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полиции Главного управления Министерства внутренних дел Российской Федерации по Нижегородской области</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А.А.Юдинцев</w:t>
            </w:r>
          </w:p>
        </w:tc>
      </w:tr>
      <w:tr>
        <w:trPr>
          <w:cantSplit w:val="0"/>
          <w:trHeight w:val="1140" w:hRule="atLeast"/>
          <w:tblHeader w:val="0"/>
        </w:trPr>
        <w:tc>
          <w:tcPr>
            <w:gridSpan w:val="2"/>
            <w:tcBorders>
              <w:top w:color="000000" w:space="0" w:sz="5" w:val="single"/>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1. О состоянии работы по противодействию коррупции при реализации полномочий по распоряжению земельными участками органами государственной власти и органами местного самоуправления</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(А.В.Макаров)</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220.0" w:type="dxa"/>
              <w:bottom w:w="100.0" w:type="dxa"/>
              <w:right w:w="220.0" w:type="dxa"/>
            </w:tcMar>
            <w:vAlign w:val="top"/>
          </w:tcPr>
          <w:p w:rsidR="00000000" w:rsidDel="00000000" w:rsidP="00000000" w:rsidRDefault="00000000" w:rsidRPr="00000000" w14:paraId="0000009A">
            <w:pPr>
              <w:spacing w:after="760" w:before="640" w:line="391.30434782608694" w:lineRule="auto"/>
              <w:ind w:left="600" w:firstLine="0"/>
              <w:rPr>
                <w:rFonts w:ascii="Times New Roman" w:cs="Times New Roman" w:eastAsia="Times New Roman" w:hAnsi="Times New Roman"/>
                <w:color w:val="333333"/>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220.0" w:type="dxa"/>
              <w:bottom w:w="100.0" w:type="dxa"/>
              <w:right w:w="220.0" w:type="dxa"/>
            </w:tcMar>
            <w:vAlign w:val="top"/>
          </w:tcPr>
          <w:p w:rsidR="00000000" w:rsidDel="00000000" w:rsidP="00000000" w:rsidRDefault="00000000" w:rsidRPr="00000000" w14:paraId="0000009B">
            <w:pPr>
              <w:spacing w:after="760" w:before="640" w:line="391.30434782608694" w:lineRule="auto"/>
              <w:ind w:left="600" w:firstLine="0"/>
              <w:rPr>
                <w:rFonts w:ascii="Times New Roman" w:cs="Times New Roman" w:eastAsia="Times New Roman" w:hAnsi="Times New Roman"/>
                <w:color w:val="333333"/>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220.0" w:type="dxa"/>
              <w:bottom w:w="100.0" w:type="dxa"/>
              <w:right w:w="220.0" w:type="dxa"/>
            </w:tcMar>
            <w:vAlign w:val="top"/>
          </w:tcPr>
          <w:p w:rsidR="00000000" w:rsidDel="00000000" w:rsidP="00000000" w:rsidRDefault="00000000" w:rsidRPr="00000000" w14:paraId="0000009C">
            <w:pPr>
              <w:spacing w:after="760" w:before="640" w:line="391.30434782608694" w:lineRule="auto"/>
              <w:ind w:left="600" w:firstLine="0"/>
              <w:rPr>
                <w:rFonts w:ascii="Times New Roman" w:cs="Times New Roman" w:eastAsia="Times New Roman" w:hAnsi="Times New Roman"/>
                <w:color w:val="333333"/>
                <w:sz w:val="24"/>
                <w:szCs w:val="24"/>
              </w:rPr>
            </w:pPr>
            <w:r w:rsidDel="00000000" w:rsidR="00000000" w:rsidRPr="00000000">
              <w:rPr>
                <w:rtl w:val="0"/>
              </w:rPr>
            </w:r>
          </w:p>
        </w:tc>
      </w:tr>
    </w:tbl>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1.1. Принять к сведению информацию министерства государственного имущества и земельных ресурсов Нижегородской области о состоянии работы по противодействию коррупции при реализации полномочий по распоряжению земельными участками органами государственной власти и органами местного самоуправления на территории Нижегородской области.</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 Министерству государственного имущества и земельных ресурсов Нижегородской области (А.В.Макаров):</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1.2.1. Продолжить выполнение мероприятий по противодействию коррупционным правонарушениям в сфере земельных отношений на территории Нижегородской области, в том числе в рамках реализации Национального плана противодействия коррупции, утвержденного Указом Президента Российской Федерации от 13.03.2012 № 297.</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1.2.2. Обеспечить качественное выполнение министерством государственного имущества и земельных ресурсов Нижегородской области областной целевой программы «Противодействие коррупции на территории Нижегородской области» на 2012-2014 годы, утвержденной постановлением Правительства Нижегородской области от  08.08.2012 № 527.</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1.2.3. Обеспечить своевременное выявление и урегулирование в соответствии с законодательством конфликта интересов лиц, занимающих должности государственной гражданской службы в министерстве государственного имущества и земельных ресурсов Нижегородской области.</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1.2.4. Продолжить практику оказания пользователям информационно-коммуникационной сети Интернет государственных услуг в электронной форме в соответствии с Федеральным законом от 27.07.2010 № 210-ФЗ         </w:t>
        <w:tab/>
        <w:t xml:space="preserve">«Об организации предоставления государственных и муниципальных услуг».</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1.2.5. Активизировать работу по координации деятельности органов местного самоуправления Нижегородской области в сфере земельных отношений, оказанию им необходимой методической и методологической помощи.</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1.3. Рекомендовать ГУ МВД России по Нижегородской области (И.М.Шаев) продолжить реализацию мероприятий по выявлению и документированию и пресечению правонарушений коррупционной направленности в сфере земельных отношений Нижегородской области.</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 Рекомендовать органам местного самоуправления Нижегородской области:</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1.4.1. Продолжить выполнение мероприятий по противодействию коррупционным правонарушениям в сфере земельных отношений на территории муниципальных образований, в том числе в рамках реализации Национального плана противодействия коррупции, утвержденного Указом Президента Российской Федерации от 13.03.2012 № 297.</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1.4.2. Обеспечить качественное выполнение мероприятий областной целевой программы «Противодействие коррупции на территории Нижегородской области» на 2012-2014 годы, утвержденной постановлением Правительства Нижегородской области от 08.08.2012 № 527.</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1.4.3. Обеспечить своевременное выявление и урегулирование в соответствии с законодательством конфликта интересов лиц, занимающих муниципальные должности и должности муниципальной службы в органах местного самоуправления Нижегородской области.</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1.4.4. Продолжить практику оказания пользователям информационно-коммуникационной сети Интернет муниципальных услуг в электронной форме в соответствии с Федеральным законом от 27.07.2010 № 210-ФЗ         </w:t>
        <w:tab/>
        <w:t xml:space="preserve">«Об организации предоставления государственных и муниципальных услуг».</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12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2. О состоянии работы по противодействию коррупции в Управлении Федеральной службы государственной регистрации, кадастра и картографии по Нижегородской области и мерах, принимаемых для повышения её эффективности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(И.В.Бердникова)</w:t>
            </w:r>
          </w:p>
        </w:tc>
      </w:tr>
    </w:tbl>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Принять к сведению информацию Управления Федеральной службы государственной регистрации, кадастра и картографии по Нижегородской   области и ГУ МВД России по Нижегородской области                  </w:t>
        <w:tab/>
        <w:t xml:space="preserve">о состоянии работы по противодействию коррупции в Управлении Федеральной службы государственной регистрации, кадастра и картографии по Нижегородской области и мерах, принимаемых для повышения её эффективности.</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Рекомендовать Управлению Росреестра по Нижегородской области (И.В.Бердникова):</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2.2.1. Продолжить работу по профилактике коррупционных нарушений в учреждениях Федеральной службы государственной регистрации, кадастра и картографии, расположенных на территории Нижегородской   области.</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2.2.2. Продолжить работу по предотвращению, выявлению и урегулированию в соответствии с законодательством конфликта интересов, возникающих у лиц, состоящих на государственной гражданской службе       </w:t>
        <w:tab/>
        <w:t xml:space="preserve">в учреждениях Росреестра, расположенных на территории Нижегородской области.</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2.2.3. Регулярно доводить до сотрудников учреждений Росреестра, расположенных на территории Нижегородской области, информацию о правонарушениях коррупционной направленности, совершенных в сфере государственной регистрации, кадастра и картографии.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2.2.4. Принять меры по расширению практики оказания гражданам государственных услуг в электронной форме в соответствии с Федеральным законом от 27.07.2010 № 210-ФЗ «Об организации предоставления государственных и муниципальных услуг».</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Рекомендовать Управлению Росреестра по Нижегородской области (И.В.Бердникова) и ГУ МВД России по Нижегородской области (И.М.Шаев) обеспечить на постоянной основе межведомственное взаимодействие в планировании и реализации практических мероприятий в сфере противодействия коррупции.</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 3. О реализации антикоррупционной политики на территории Кулебакского муниципального района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(Л.А.Узякова)</w:t>
            </w:r>
          </w:p>
        </w:tc>
      </w:tr>
    </w:tbl>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Принять к сведению информацию о реализации антикоррупционной политики на территории Кулебакского муниципального района Нижегородской области.</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Рекомендовать администрации Кулебакского муниципального района Нижегородской области (Л.А.Узякова):</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3.2.1. Организовать более эффективное исполнение администрацией Кулебакского муниципального района, органами местного самоуправления входящих в него муниципальных образований, муниципальными предприятиями и учреждениями законодательных актов, муниципальных правовых актов, иных управленческих решений в области противодействия коррупции, создание условий, затрудняющих возможность коррупционных проявлений.</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3.2.2. Принять меры к активизации работы по выявлению случаев возникновения конфликта интересов на муниципальной службе, своевременно принимать предусмотренные законодательством меры по предотвращению и урегулированию конфликта интересов.</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3.2.3. Продолжать проведение среди должностных лиц органов местного самоуправления, муниципальных служащих, работников муниципальных учреждений и предприятий, а также среди населения района разъяснительной работы по вопросам реализации антикоррупционной политики.</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3.2.3. Продолжить практику оказания жителям района муниципальных услуг в электронной форме в соответствии с Федеральным законом от 27.07.2010 № 210-ФЗ «Об организации предоставления государственных и муниципальных услуг».</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4. О результатах проведения 1 этапа антикоррупционного мониторинга общественного мнения на территории Нижегородской области в 2012 году</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(А.Ю.Чупрова)</w:t>
            </w:r>
          </w:p>
        </w:tc>
      </w:tr>
    </w:tbl>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4.1. Принять к сведению информацию о результатах проведения            </w:t>
        <w:tab/>
        <w:t xml:space="preserve">1 этапа антикоррупционного мониторинга общественного мнения на территории Нижегородской области в 2012 году.</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 Управлению региональной безопасности и мобилизационной подготовки Нижегородской области (А.Г.Комлев) совместно с Общественным комитетом по противодействию коррупции при Торгово-промышленной палате Нижегородской области (А.Ю.Чупрова):</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4.2.1. Подготовить и направить результаты 1 этапа антикоррупционного мониторинга общественного мнения в органы исполнительной власти Нижегородской области, органы местного самоуправления муниципальных районов и городских округов Нижегородской области, правоохранительные органы Нижегородской области, Законодательное Собрание Нижегородской области, обеспечить их размещение в средствах массовой информации и        </w:t>
        <w:tab/>
        <w:t xml:space="preserve">на официальном сайте Правительства Нижегородской области.</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до 20.01.2013.</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4.2.2. В соответствии с постановлением Правительства Нижегородской области от 23.09.2009 № 685 «Об утверждении Порядка проведения антикоррупционного мониторинга на территории Нижегородской области» продолжить проведение антикоррупционного мониторинга общественного мнения среди различных категорий граждан Нижегородской области.</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 Рекомендовать главам администраций муниципальных районов и городских округов Нижегородской области:</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4.3.1. Привлекать представителей местных администраций сельских и городских поселений Нижегородской области к участию в организации и проведении антикоррупционного мониторинга общественного мнения на территории муниципального района (городского округа).</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4.3.2. Обеспечивать направление результатов проведенного на территории муниципального района (городского округа) антикоррупционного мониторинга общественного мнения для использования их в работе по профилактике коррупции:</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представительным органам местного самоуправления муниципальных районов (городских округов);</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руководителям структурных подразделений администраций муниципальных районов (городских округов);</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руководителям правоохранительных органов по муниципальным районам (городским округам);</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районным (городским) прокурорам;</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 управление региональной безопасности и мобилизационной подготовки Нижегородской области.</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4.3.3. Обеспечивать опубликование результатов проведенного на территории муниципального района (городского округа) антикоррупционного мониторинга общественного мнения в средствах массовой информации и размещение на сайтах администраций муниципальных районов (городских округов) Нижегородской области.</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5. О проекте плана работы межведомственного координационного совета по противодействию коррупции при Губернаторе Нижегородской области на 2013 год</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(А.Г.Комлев)</w:t>
            </w:r>
          </w:p>
        </w:tc>
      </w:tr>
    </w:tbl>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5.1. Принять к сведению информацию управления региональной безопасности и мобилизационной подготовки Нижегородской области о проекте плана работы межведомственного координационного совета         </w:t>
        <w:tab/>
        <w:t xml:space="preserve">по противодействию коррупции при Губернаторе Нижегородской области на 2013 год.</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5.2. Утвердить план работы межведомственного координационного совета по противодействию коррупции при Губернаторе Нижегородской области на 2013 год.</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5.3. Управлению региональной безопасности и мобилизационной подготовки Нижегородской области (А.Г.Комлев) направить план работы межведомственного координационного совета по противодействию коррупции при Губернаторе Нижегородской области на 2013 год членам межведомственного координационного совета по противодействию коррупции при Губернаторе Нижегородской области, руководителям заинтересованных территориальных органов федеральных органов исполнительной власти, органов исполнительной власти Нижегородской области, органов местного самоуправления Нижегородской области.</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                                                                                  </w:t>
        <w:tab/>
        <w:t xml:space="preserve">В.П.Шанцев</w:t>
      </w:r>
    </w:p>
    <w:p w:rsidR="00000000" w:rsidDel="00000000" w:rsidP="00000000" w:rsidRDefault="00000000" w:rsidRPr="00000000" w14:paraId="000000F9">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