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07ACB">
      <w:pPr>
        <w:pStyle w:val="a4"/>
        <w:jc w:val="center"/>
      </w:pPr>
    </w:p>
    <w:p w:rsidR="00000000" w:rsidRDefault="00507ACB">
      <w:pPr>
        <w:pStyle w:val="a4"/>
        <w:jc w:val="center"/>
      </w:pPr>
      <w:bookmarkStart w:id="0" w:name="_GoBack"/>
      <w:bookmarkEnd w:id="0"/>
      <w:r>
        <w:t>ПРАВИТЕЛЬСТВО НИЖЕГОРОДСКОЙ ОБЛАСТИ</w:t>
      </w:r>
    </w:p>
    <w:p w:rsidR="00000000" w:rsidRDefault="00507ACB">
      <w:pPr>
        <w:pStyle w:val="a4"/>
        <w:jc w:val="center"/>
      </w:pPr>
      <w:r>
        <w:t>ПОСТАНОВЛЕНИЕ</w:t>
      </w:r>
    </w:p>
    <w:p w:rsidR="00000000" w:rsidRDefault="00507ACB">
      <w:pPr>
        <w:pStyle w:val="a4"/>
        <w:jc w:val="center"/>
      </w:pPr>
      <w:r>
        <w:t>от 6 сентября 2021 г. № 801</w:t>
      </w:r>
    </w:p>
    <w:p w:rsidR="00000000" w:rsidRDefault="00507ACB">
      <w:pPr>
        <w:pStyle w:val="a4"/>
        <w:jc w:val="center"/>
      </w:pPr>
      <w:r>
        <w:t xml:space="preserve"> </w:t>
      </w:r>
    </w:p>
    <w:p w:rsidR="00000000" w:rsidRDefault="00507ACB">
      <w:pPr>
        <w:pStyle w:val="a4"/>
        <w:jc w:val="center"/>
      </w:pPr>
      <w:r>
        <w:t>Об утверждении Плана мероприятий ("дорожной карты")</w:t>
      </w:r>
    </w:p>
    <w:p w:rsidR="00000000" w:rsidRDefault="00507ACB">
      <w:pPr>
        <w:pStyle w:val="a4"/>
        <w:jc w:val="center"/>
      </w:pPr>
      <w:r>
        <w:t xml:space="preserve">по правовому просвещению граждан и оказанию </w:t>
      </w:r>
      <w:proofErr w:type="gramStart"/>
      <w:r>
        <w:t>правовой</w:t>
      </w:r>
      <w:proofErr w:type="gramEnd"/>
    </w:p>
    <w:p w:rsidR="00000000" w:rsidRDefault="00507ACB">
      <w:pPr>
        <w:pStyle w:val="a4"/>
        <w:jc w:val="center"/>
      </w:pPr>
      <w:r>
        <w:t>помощи на территории Нижегородской области</w:t>
      </w:r>
    </w:p>
    <w:p w:rsidR="00000000" w:rsidRDefault="00507ACB">
      <w:pPr>
        <w:pStyle w:val="a4"/>
        <w:jc w:val="center"/>
      </w:pPr>
      <w:r>
        <w:t xml:space="preserve">на 2021-2023 годы </w:t>
      </w: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ind w:firstLine="375"/>
        <w:jc w:val="both"/>
      </w:pPr>
      <w:r>
        <w:t>В целя</w:t>
      </w:r>
      <w:r>
        <w:t xml:space="preserve">х создания условий для эффективной </w:t>
      </w:r>
      <w:proofErr w:type="gramStart"/>
      <w:r>
        <w:t>реализации</w:t>
      </w:r>
      <w:proofErr w:type="gramEnd"/>
      <w:r>
        <w:t xml:space="preserve"> установленного Конституцией Российской Федерации права граждан на получение квалифицированной юридической помощи, создания на территории Нижегородской области системы правового просвещения населения, ориентиров</w:t>
      </w:r>
      <w:r>
        <w:t>анной на повышение уровня правовой осведомленности, правовой грамотности и формирование правосознания граждан, а также реализации мероприятий по цифровой трансформации в области права Правительство Нижегородской области постановляет:</w:t>
      </w:r>
    </w:p>
    <w:p w:rsidR="00000000" w:rsidRDefault="00507ACB">
      <w:pPr>
        <w:pStyle w:val="a3"/>
        <w:ind w:firstLine="375"/>
        <w:jc w:val="both"/>
      </w:pPr>
      <w:r>
        <w:t>1. Утвердить прилагаем</w:t>
      </w:r>
      <w:r>
        <w:t>ый план мероприятий ("дорожную карту") по правовому просвещению граждан и оказанию правовой помощи на территории Нижегородской области на 2021-2023 годы (далее - план мероприятий).</w:t>
      </w:r>
    </w:p>
    <w:p w:rsidR="00000000" w:rsidRDefault="00507ACB">
      <w:pPr>
        <w:pStyle w:val="a3"/>
        <w:ind w:firstLine="375"/>
        <w:jc w:val="both"/>
      </w:pPr>
      <w:r>
        <w:t>2. Государственно-правовому департаменту Нижегородской области осуществлять</w:t>
      </w:r>
      <w:r>
        <w:t>:</w:t>
      </w:r>
    </w:p>
    <w:p w:rsidR="00000000" w:rsidRDefault="00507ACB">
      <w:pPr>
        <w:pStyle w:val="a3"/>
        <w:ind w:firstLine="375"/>
        <w:jc w:val="both"/>
      </w:pPr>
      <w:r>
        <w:t>- координацию деятельности по реализации плана мероприятий;</w:t>
      </w:r>
    </w:p>
    <w:p w:rsidR="00000000" w:rsidRDefault="00507ACB">
      <w:pPr>
        <w:pStyle w:val="a3"/>
        <w:ind w:firstLine="375"/>
        <w:jc w:val="both"/>
      </w:pPr>
      <w:proofErr w:type="gramStart"/>
      <w:r>
        <w:t xml:space="preserve">- взаимодействие с Главным управлением Министерства юстиции Российской Федерации по Нижегородской области по реализации государственной политики в сфере правового просвещения граждан и оказания </w:t>
      </w:r>
      <w:r>
        <w:t>бесплатной юридической помощи на территории Нижегородской области, в том числе, путем унификации подходов всех органов государственной власти и органов местного самоуправления муниципальных районов, муниципальных и городских округов Нижегородской области;</w:t>
      </w:r>
      <w:proofErr w:type="gramEnd"/>
    </w:p>
    <w:p w:rsidR="00000000" w:rsidRDefault="00507ACB">
      <w:pPr>
        <w:pStyle w:val="a3"/>
        <w:ind w:firstLine="375"/>
        <w:jc w:val="both"/>
      </w:pPr>
      <w:r>
        <w:t>- взаимодействие с Законодательным Собранием Нижегородской области, Уполномоченным по правам человека в Нижегородской области в сфере правового просвещения, повышения уровня правосознания, а также повышения правовой культуры граждан Нижегородской области.</w:t>
      </w:r>
    </w:p>
    <w:p w:rsidR="00000000" w:rsidRDefault="00507ACB">
      <w:pPr>
        <w:pStyle w:val="a3"/>
        <w:ind w:firstLine="375"/>
        <w:jc w:val="both"/>
      </w:pPr>
      <w:r>
        <w:t>3. Рекомендовать органам местного самоуправления муниципальных районов, муниципальных и городских округов Нижегородской области принять участие в реализации плана мероприятий путем обеспечения поддержки проведения мероприятий по правовому просвещению и ока</w:t>
      </w:r>
      <w:r>
        <w:t>занию правовой помощи на территории Нижегородской области.</w:t>
      </w:r>
    </w:p>
    <w:p w:rsidR="00000000" w:rsidRDefault="00507ACB">
      <w:pPr>
        <w:pStyle w:val="a3"/>
        <w:ind w:firstLine="375"/>
        <w:jc w:val="both"/>
      </w:pPr>
      <w:r>
        <w:t xml:space="preserve">4. Финансовое обеспечение мероприятий, предусмотренных планом </w:t>
      </w:r>
      <w:r>
        <w:lastRenderedPageBreak/>
        <w:t>мероприятий, осуществляется органами исполнительной власти Нижегородской области, ответственными за их исполнение, в пределах бюджетных</w:t>
      </w:r>
      <w:r>
        <w:t xml:space="preserve"> ассигнований, предусмотренных им в областном бюджете на соответствующий финансовый год и плановый период.</w:t>
      </w:r>
    </w:p>
    <w:p w:rsidR="00000000" w:rsidRDefault="00507ACB">
      <w:pPr>
        <w:pStyle w:val="a3"/>
        <w:ind w:firstLine="375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Нижегородской области </w:t>
      </w:r>
      <w:proofErr w:type="spellStart"/>
      <w:r>
        <w:t>А.А.Бетина</w:t>
      </w:r>
      <w:proofErr w:type="spellEnd"/>
      <w:r>
        <w:t>.</w:t>
      </w:r>
    </w:p>
    <w:p w:rsidR="00000000" w:rsidRDefault="00507ACB">
      <w:pPr>
        <w:pStyle w:val="a3"/>
        <w:ind w:firstLine="375"/>
        <w:jc w:val="both"/>
      </w:pPr>
      <w:r>
        <w:t>6. Настоящее постановление</w:t>
      </w:r>
      <w:r>
        <w:t xml:space="preserve"> вступает в силу со дня его принятия и подлежит официальному опубликованию.</w:t>
      </w: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  <w:r>
        <w:t>Губернатор</w:t>
      </w:r>
      <w:r>
        <w:tab/>
        <w:t xml:space="preserve">                               </w:t>
      </w:r>
      <w:proofErr w:type="spellStart"/>
      <w:r>
        <w:t>Г.С.Никитин</w:t>
      </w:r>
      <w:proofErr w:type="spellEnd"/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both"/>
      </w:pPr>
    </w:p>
    <w:p w:rsidR="00000000" w:rsidRDefault="00507ACB">
      <w:pPr>
        <w:pStyle w:val="a3"/>
        <w:jc w:val="right"/>
      </w:pPr>
      <w:r>
        <w:t>УТВЕРЖДЕН</w:t>
      </w:r>
    </w:p>
    <w:p w:rsidR="00000000" w:rsidRDefault="00507ACB">
      <w:pPr>
        <w:pStyle w:val="a3"/>
        <w:jc w:val="right"/>
      </w:pPr>
      <w:r>
        <w:t xml:space="preserve">постановлением Правительства </w:t>
      </w:r>
    </w:p>
    <w:p w:rsidR="00000000" w:rsidRDefault="00507ACB">
      <w:pPr>
        <w:pStyle w:val="a3"/>
        <w:jc w:val="right"/>
      </w:pPr>
      <w:r>
        <w:t>Нижегородской области</w:t>
      </w:r>
    </w:p>
    <w:p w:rsidR="00000000" w:rsidRDefault="00507ACB">
      <w:pPr>
        <w:pStyle w:val="a3"/>
        <w:jc w:val="right"/>
      </w:pPr>
      <w:r>
        <w:t xml:space="preserve">от 6 сентября 2021 г. № 801 </w:t>
      </w:r>
    </w:p>
    <w:p w:rsidR="00000000" w:rsidRDefault="00507ACB">
      <w:pPr>
        <w:pStyle w:val="a3"/>
        <w:jc w:val="center"/>
      </w:pPr>
    </w:p>
    <w:p w:rsidR="00000000" w:rsidRDefault="00507ACB">
      <w:pPr>
        <w:pStyle w:val="a3"/>
        <w:jc w:val="center"/>
      </w:pPr>
    </w:p>
    <w:p w:rsidR="00000000" w:rsidRDefault="00507ACB">
      <w:pPr>
        <w:pStyle w:val="a3"/>
        <w:jc w:val="center"/>
        <w:rPr>
          <w:b/>
          <w:bCs/>
        </w:rPr>
      </w:pPr>
      <w:r>
        <w:rPr>
          <w:b/>
          <w:bCs/>
        </w:rPr>
        <w:t>ПЛАН МЕРОПРИЯТИЙ ("ДОРОЖНАЯ</w:t>
      </w:r>
      <w:r>
        <w:rPr>
          <w:b/>
          <w:bCs/>
        </w:rPr>
        <w:t xml:space="preserve"> КАРТА")</w:t>
      </w:r>
    </w:p>
    <w:p w:rsidR="00000000" w:rsidRDefault="00507ACB">
      <w:pPr>
        <w:pStyle w:val="a3"/>
        <w:jc w:val="center"/>
        <w:rPr>
          <w:b/>
          <w:bCs/>
        </w:rPr>
      </w:pPr>
      <w:r>
        <w:rPr>
          <w:b/>
          <w:bCs/>
        </w:rPr>
        <w:t>ПО ПРАВОВОМУ ПРОСВЕЩЕНИЮ ГРАЖДАН И ОКАЗАНИЮ</w:t>
      </w:r>
    </w:p>
    <w:p w:rsidR="00000000" w:rsidRDefault="00507ACB">
      <w:pPr>
        <w:pStyle w:val="a3"/>
        <w:jc w:val="center"/>
        <w:rPr>
          <w:b/>
          <w:bCs/>
        </w:rPr>
      </w:pPr>
      <w:r>
        <w:rPr>
          <w:b/>
          <w:bCs/>
        </w:rPr>
        <w:t>ПРАВОВОЙ ПОМОЩИ НА ТЕРРИТОРИИ НИЖЕГОРОДСКОЙ</w:t>
      </w:r>
    </w:p>
    <w:p w:rsidR="00000000" w:rsidRDefault="00507ACB">
      <w:pPr>
        <w:pStyle w:val="a3"/>
        <w:jc w:val="center"/>
      </w:pPr>
      <w:r>
        <w:rPr>
          <w:b/>
          <w:bCs/>
        </w:rPr>
        <w:t>ОБЛАСТИ НА 2021-2023 ГОДЫ</w:t>
      </w:r>
    </w:p>
    <w:p w:rsidR="00000000" w:rsidRDefault="00507ACB">
      <w:pPr>
        <w:pStyle w:val="a3"/>
        <w:jc w:val="center"/>
      </w:pPr>
    </w:p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95"/>
        <w:gridCol w:w="120"/>
        <w:gridCol w:w="15"/>
        <w:gridCol w:w="15"/>
        <w:gridCol w:w="4350"/>
        <w:gridCol w:w="15"/>
        <w:gridCol w:w="60"/>
        <w:gridCol w:w="15"/>
        <w:gridCol w:w="3945"/>
        <w:gridCol w:w="15"/>
        <w:gridCol w:w="27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№</w:t>
            </w:r>
            <w:r>
              <w:t xml:space="preserve"> </w:t>
            </w:r>
          </w:p>
          <w:p w:rsidR="00000000" w:rsidRDefault="00507ACB">
            <w:pPr>
              <w:pStyle w:val="a3"/>
              <w:jc w:val="center"/>
            </w:pP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</w:t>
            </w:r>
            <w:r>
              <w:t xml:space="preserve"> 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Наименование мероприятия</w:t>
            </w:r>
            <w: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Ответственный исполнитель</w:t>
            </w:r>
            <w:r>
              <w:t xml:space="preserve">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Срок исполнения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1. Мероприятия, направленные на цифровую трансформаци</w:t>
            </w:r>
            <w:r>
              <w:rPr>
                <w:b/>
                <w:bCs/>
              </w:rPr>
              <w:t>ю в области права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1.1.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Создание и развитие цифрового контура системы правового просвещения населения Нижегородской области - Единого Портала по правовому просвещению и оказанию правовой помощи в Нижегородской области (pravovsem52.ru) - официального источ</w:t>
            </w:r>
            <w:r>
              <w:t xml:space="preserve">ника по доступу к качественной и достоверной правовой информации, а также правовых услуг 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 (Уполномоченный орган по формированию и развитию портала)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</w:t>
            </w:r>
            <w:r>
              <w:t xml:space="preserve"> области "Центр правового консультирования граждан и юридических лиц" (Оператор портала)</w:t>
            </w:r>
          </w:p>
        </w:tc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1.2.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Создание и организация </w:t>
            </w:r>
            <w:r>
              <w:lastRenderedPageBreak/>
              <w:t xml:space="preserve">деятельности на базе государственного бюджетного учреждения Нижегородской области "Центр правового консультирования </w:t>
            </w:r>
            <w:r>
              <w:t xml:space="preserve">граждан и юридических лиц" Фабрики оптимизации правовых процессов 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 xml:space="preserve">Государственно-правовой </w:t>
            </w:r>
            <w:r>
              <w:lastRenderedPageBreak/>
              <w:t>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Государственное бюджетное учреждение Нижегородской области "Центр правового консультирования граждан и юридических лиц" </w:t>
            </w:r>
          </w:p>
        </w:tc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На постоян</w:t>
            </w:r>
            <w:r>
              <w:t xml:space="preserve">ной </w:t>
            </w:r>
            <w:r>
              <w:lastRenderedPageBreak/>
              <w:t xml:space="preserve">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>1.3.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Реализация деятельности в области права с использованием цифровых компетенций </w:t>
            </w:r>
          </w:p>
        </w:tc>
        <w:tc>
          <w:tcPr>
            <w:tcW w:w="3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Государственное бюджетное учреждение Нижегородской области "Центр правового консультирования граждан </w:t>
            </w:r>
            <w:r>
              <w:t>и юридических лиц"</w:t>
            </w:r>
          </w:p>
        </w:tc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2. Размещение информации по правовому просвещению, правовому информированию и оказанию правовой помощи гражданам Нижегородской области в информационно-телекоммуникационной сети "Интернет"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2.1.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Размещение и поддер</w:t>
            </w:r>
            <w:r>
              <w:t>жание в актуальном состоянии информации на Едином Портале по правовому просвещению и оказанию правовой помощи в Нижегородской области (pravovsem52.ru)</w:t>
            </w:r>
          </w:p>
        </w:tc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 (Уполномоченный орган по формированию и развити</w:t>
            </w:r>
            <w:r>
              <w:t>ю портала)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 (Оператор портала)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2.2.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Размещение на официальных сайтах органов исполнительной власти Нижегородской о</w:t>
            </w:r>
            <w:r>
              <w:t>бласти и органов местного самоуправления муниципальных районов, муниципальных и городских округов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в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телекоммуникационной сети "Интернет" актуализированной информации по правовому информированию и правовому просвещению г</w:t>
            </w:r>
            <w:r>
              <w:t xml:space="preserve">раждан в рамках </w:t>
            </w:r>
            <w:r>
              <w:lastRenderedPageBreak/>
              <w:t xml:space="preserve">своей компетенции с последующим направлением ее в адрес государственно-правового департамента Нижегородской области для размещения на Едином Портале по правовому просвещению и оказанию правовой помощи в Нижегородской области </w:t>
            </w:r>
          </w:p>
        </w:tc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Органы исполни</w:t>
            </w:r>
            <w:r>
              <w:t>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На постоянной о</w:t>
            </w:r>
            <w:r>
              <w:t>снове (в течение 7 дней, после вступления в законную силу соответствующих изменений)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2.3.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Размещение актуализированной информации от органов исполнительной власти Нижегородской области и органов местного самоуправления муниципальных районов, муниципальных</w:t>
            </w:r>
            <w:r>
              <w:t xml:space="preserve"> и городских округов Нижегородской области по правовому информированию и правовому просвещению населения Нижегородской области на Едином Портале по правовому просвещению и оказанию правовой помощи в Нижегородской области </w:t>
            </w:r>
          </w:p>
        </w:tc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</w:t>
            </w:r>
            <w:r>
              <w:t>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</w:t>
            </w:r>
            <w:r>
              <w:t>о самоуправления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2.4.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proofErr w:type="gramStart"/>
            <w:r>
              <w:t>Размещение информации о государственных и муниципальных услугах (функциях) в государс</w:t>
            </w:r>
            <w:r>
              <w:t>твенной информационной системе Нижегородской области "Реестр государственных и муниципальных услуг (функций), предоставляемых (исполняемых) органами исполнительной власти Нижегородской области и органами местного самоуправления муниципальных районов, муниц</w:t>
            </w:r>
            <w:r>
              <w:t xml:space="preserve">ипальных и городских округов, городских и сельских поселений Нижегородской области </w:t>
            </w:r>
            <w:r>
              <w:lastRenderedPageBreak/>
              <w:t xml:space="preserve">и подведомственными им организациями" с последующим размещением в </w:t>
            </w:r>
            <w:proofErr w:type="gramEnd"/>
          </w:p>
          <w:p w:rsidR="00000000" w:rsidRDefault="00507ACB">
            <w:pPr>
              <w:pStyle w:val="a3"/>
              <w:jc w:val="both"/>
            </w:pPr>
            <w:r>
              <w:t>государственной информационной системе Нижегородской области "Единый интернет-портал государственных и мун</w:t>
            </w:r>
            <w:r>
              <w:t>иципальных услуг (функций) Нижегородской области"</w:t>
            </w:r>
          </w:p>
        </w:tc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Органы исполнительной власти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 муниципальных районов, муниципальных и городских округов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</w:t>
            </w:r>
            <w:r>
              <w:t xml:space="preserve">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2.5.</w:t>
            </w:r>
          </w:p>
        </w:tc>
        <w:tc>
          <w:tcPr>
            <w:tcW w:w="44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Обеспечение доступа граждан Нижегородской области к "</w:t>
            </w:r>
            <w:proofErr w:type="gramStart"/>
            <w:r>
              <w:t>Официальному</w:t>
            </w:r>
            <w:proofErr w:type="gramEnd"/>
            <w:r>
              <w:t xml:space="preserve"> интернет-порталу правовой информации" (www.pravo.gov.ru)</w:t>
            </w:r>
          </w:p>
        </w:tc>
        <w:tc>
          <w:tcPr>
            <w:tcW w:w="39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</w:t>
            </w:r>
            <w:r>
              <w:t>ние Нижегородской области "Центр правового консультирования граждан и юридических лиц"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3. Мероприятия, направленные на правовое просвещение населения Нижегородской области, в том числе по вопросам оказания бесплатной юридической помо</w:t>
            </w:r>
            <w:r>
              <w:rPr>
                <w:b/>
                <w:bCs/>
              </w:rPr>
              <w:t>щи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3.1.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Организация и проведение информационных дней по вопросам, входящих в компетенцию органов исполнительной власти Нижегородской области и органов местного самоуправления муниципальных районов, муниципальных и городских округов Нижегородской области </w:t>
            </w:r>
          </w:p>
        </w:tc>
        <w:tc>
          <w:tcPr>
            <w:tcW w:w="40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Ежеквартально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3.2.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Разработка и поддержание в актуальном состоянии информационных стендов по правовому просвещению и оказанию правовой</w:t>
            </w:r>
            <w:r>
              <w:t xml:space="preserve"> помощи населению Нижегородской области с последующим </w:t>
            </w:r>
            <w:r>
              <w:lastRenderedPageBreak/>
              <w:t xml:space="preserve">размещением их в местах для информирования (консультирования) населения </w:t>
            </w:r>
          </w:p>
        </w:tc>
        <w:tc>
          <w:tcPr>
            <w:tcW w:w="40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Органы исполнительной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</w:t>
            </w:r>
            <w:r>
              <w:t xml:space="preserve">дение Нижегородской области "Центр правового </w:t>
            </w:r>
            <w:r>
              <w:lastRenderedPageBreak/>
              <w:t>консультирования граждан и юридических лиц"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3.3.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Развитие аккаунтов государственного бюджетного учреждения Нижегородской области "Центр правового консультирования граждан и юридических лиц</w:t>
            </w:r>
            <w:r>
              <w:t xml:space="preserve">" в социальных сетях путем публикации статей, информации по правовым вопросам </w:t>
            </w:r>
          </w:p>
        </w:tc>
        <w:tc>
          <w:tcPr>
            <w:tcW w:w="403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t>4. Мероприятия, направленные на по</w:t>
            </w:r>
            <w:r>
              <w:rPr>
                <w:b/>
                <w:bCs/>
              </w:rPr>
              <w:t>вышение уровня правовых знаний граждан Нижегородской области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4.1.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Подготовка статей, информационных материалов, публикаций по правовым вопросам в сфере помилования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Комиссия по вопросам помиловани</w:t>
            </w:r>
            <w:r>
              <w:t xml:space="preserve">я на территории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4.2.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Подготовка информационных, справочно-информационных материалов по правовым вопросам в сферах: защиты прав и свобод человека и гражданина, реабилитации жертв политических репрессий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</w:t>
            </w:r>
            <w:r>
              <w:t>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Комиссия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</w:t>
            </w:r>
          </w:p>
          <w:p w:rsidR="00000000" w:rsidRDefault="00507ACB">
            <w:pPr>
              <w:pStyle w:val="a3"/>
              <w:jc w:val="both"/>
            </w:pPr>
            <w:r>
              <w:t>Комиссия при Губернаторе Нижегородской области п</w:t>
            </w:r>
            <w:r>
              <w:t xml:space="preserve">о восстановлению прав реабилитированных жертв политических репрессий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4.3.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Разработка органами исполнительной власти Нижегородской области методических материалов по различным вопросам применения действующего законодательства, в том </w:t>
            </w:r>
            <w:r>
              <w:t xml:space="preserve">числе для органов местного </w:t>
            </w:r>
            <w:r>
              <w:lastRenderedPageBreak/>
              <w:t xml:space="preserve">самоуправления муниципальных районов, муниципальных и городских округов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Органы исполнительной власти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4.4.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Разработ</w:t>
            </w:r>
            <w:r>
              <w:t xml:space="preserve">ка и утверждение типовых административных регламентов предоставления муниципальных услуг, предоставляемых органами местного самоуправления муниципальных образований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Комиссия п</w:t>
            </w:r>
            <w:r>
              <w:t xml:space="preserve">о повышению качества предоставления государственных и муниципальных услуг на территории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4.5.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Организация и проведение правового конкурса научно-творческих работ учащихся общеобразовательных учреждений муниципал</w:t>
            </w:r>
            <w:r>
              <w:t xml:space="preserve">ьных районов, муниципальных и городских округов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Комиссия при Губернаторе Нижегородской области по правам человека, содействию развитию институтов гражданского общества и рассм</w:t>
            </w:r>
            <w:r>
              <w:t xml:space="preserve">отрению общественных инициатив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4.6.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Организация и проведение правового конкурса среди студентов юридических факультетов высших учебных заведений города Нижнего Новгорода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</w:t>
            </w:r>
            <w:r>
              <w:t>го консультирования граждан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Государственно-правовой департамент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4.7.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Организация и проведение семинаров, конференций, мастер-классов в сфере правового просвещения граждан и юридических лиц, в том числе с</w:t>
            </w:r>
            <w:r>
              <w:t xml:space="preserve">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телекоммуникационных технологий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Государственно-правовой департамент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Ежеквартально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4.8.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Организация и проведение семинаров, конференций, мастер-классов в сфере правового </w:t>
            </w:r>
            <w:r>
              <w:lastRenderedPageBreak/>
              <w:t xml:space="preserve">просвещения лиц с ограниченными возможностями здоровья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Участники государственной системы бесплатной юридической помощи (при </w:t>
            </w:r>
            <w:r>
              <w:lastRenderedPageBreak/>
              <w:t>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 xml:space="preserve">Участники негосударственной системы бесплатной юридической помощи (при условии участия в реализации мероприятия)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4.9.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Организация и проведение семинаров, конференций, мастер-классов в сфере правового просвещения для несовершеннолетних граждан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Уполномоченный по правам ребенка в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</w:pPr>
            <w:r>
              <w:t>Уполномоченный по правам человека в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</w:t>
            </w:r>
            <w:r>
              <w:t>ской области "Центр правового консультирования граждан и юридических лиц"</w:t>
            </w:r>
          </w:p>
          <w:p w:rsidR="00000000" w:rsidRDefault="00507ACB">
            <w:pPr>
              <w:pStyle w:val="a3"/>
            </w:pPr>
            <w:r>
              <w:t>Участники государственной системы бесплатной юридической помощи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 xml:space="preserve">Участники негосударственной системы бесплатной юридической помощи (при </w:t>
            </w:r>
            <w:r>
              <w:t xml:space="preserve">условии участия в реализации мероприятия)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4.10.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Организация и проведение мастер-классов, семинаров, бизнес-тренингов конференций для субъектов малого и среднего предпринимательства, в том числе с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</w:t>
            </w:r>
            <w:r>
              <w:t xml:space="preserve">ых технологий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>Уполномоченный по защите прав предпринимателей 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Еже</w:t>
            </w:r>
            <w:r>
              <w:t xml:space="preserve">квартально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4.11.</w:t>
            </w: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Организация для государственных гражданских служащих </w:t>
            </w:r>
            <w:r>
              <w:lastRenderedPageBreak/>
              <w:t>Нижегородской области курсов повышения квалификации по вопросам обзора действующего российского законодательства, изменений в действующем законодательстве, нове</w:t>
            </w:r>
            <w:proofErr w:type="gramStart"/>
            <w:r>
              <w:t>лл в пр</w:t>
            </w:r>
            <w:proofErr w:type="gramEnd"/>
            <w:r>
              <w:t>авовом регулирова</w:t>
            </w:r>
            <w:r>
              <w:t xml:space="preserve">нии, в том числе прохождения государственными гражданскими служащими Нижегородской области обучения по дополнительным профессиональным программам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 xml:space="preserve">Департамент государственного управления и государственной </w:t>
            </w:r>
            <w:r>
              <w:lastRenderedPageBreak/>
              <w:t xml:space="preserve">гражданской службы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7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center"/>
            </w:pPr>
            <w:r>
              <w:rPr>
                <w:b/>
                <w:bCs/>
              </w:rPr>
              <w:lastRenderedPageBreak/>
              <w:t>5. Мероприятия по оказанию правовой помощи на территории Нижегородской области</w:t>
            </w:r>
            <w:r>
              <w:t xml:space="preserve">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5.1.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Проведение дней правовой помощи для граждан, имеющих право на получение бесплатной юридической помощи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Участники государственной системы бесплатной юридической помощи (</w:t>
            </w:r>
            <w:r>
              <w:t>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 xml:space="preserve">Участники негосударственной системы бесплатной юридической помощи (при условии участия в реализации мероприятия)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Ежеквартально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5.2.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Проведение "горячих" линий, "прямых телефонных линий", выездных правовых ко</w:t>
            </w:r>
            <w:r>
              <w:t>нсультаций по актуальным для граждан правовым вопросам, в том числе проведение тематических правовых консультаций по вопросу нарушения прав граждан организациями, оказывающими платные юридические услуги, в целях предотвращения мошеннических действий в отно</w:t>
            </w:r>
            <w:r>
              <w:t xml:space="preserve">шении граждан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</w:t>
            </w:r>
            <w:r>
              <w:t>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Ежеквартально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5.3.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Создание и организация работы общественных приемных при </w:t>
            </w:r>
            <w:r>
              <w:lastRenderedPageBreak/>
              <w:t>органах местного самоуправления муниципальных</w:t>
            </w:r>
            <w:r>
              <w:t xml:space="preserve"> районов, муниципальных и городских округов Нижегородской области для проведения консультаций по правовым вопросам, а также обобщение вопросов и обращений от граждан и направление их в органы государственной власти, решение которых находится в их компетенц</w:t>
            </w:r>
            <w:r>
              <w:t xml:space="preserve">ии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 xml:space="preserve">Органы местного самоуправления </w:t>
            </w:r>
            <w:r>
              <w:lastRenderedPageBreak/>
              <w:t>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</w:t>
            </w:r>
            <w:r>
              <w:t>аждан и юридических лиц"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5.4.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proofErr w:type="gramStart"/>
            <w:r>
              <w:t>Организация работы по проведению мероприятия по награждению региональной наградой - Почётный знак "За заслуги в правозащитной деятельности" граждан, осуществляющих активную правозащитную деятельность и в</w:t>
            </w:r>
            <w:r>
              <w:t>несших значительный вклад в развитие системы юридической помощи и правового просвещения населения, укрепление межведомственного взаимодействия и развитие институтов гражданского общества по обеспечению, восстановлению и защите прав, свобод и законных интер</w:t>
            </w:r>
            <w:r>
              <w:t xml:space="preserve">есов человека и гражданина в Нижегородской области </w:t>
            </w:r>
            <w:proofErr w:type="gramEnd"/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Государственно-правовой департамент Нижегородской области</w:t>
            </w:r>
          </w:p>
          <w:p w:rsidR="00000000" w:rsidRDefault="00507ACB">
            <w:pPr>
              <w:pStyle w:val="a3"/>
              <w:jc w:val="both"/>
            </w:pPr>
            <w:r>
              <w:t>Комиссия при Губернаторе Нижегородской области по правам человека, содействию развитию институтов гражданского общества и рассмотрению общественны</w:t>
            </w:r>
            <w:r>
              <w:t>х инициатив</w:t>
            </w:r>
          </w:p>
          <w:p w:rsidR="00000000" w:rsidRDefault="00507ACB">
            <w:pPr>
              <w:pStyle w:val="a3"/>
              <w:jc w:val="both"/>
            </w:pPr>
            <w:r>
              <w:t xml:space="preserve">Уполномоченный по правам человека в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Ежегодно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5.5.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Подготовка предложений и рекомендаций Губернатору Нижегородской области по совершенствованию механизмов обеспечения и защиты прав и свобод человека и гражданина на терри</w:t>
            </w:r>
            <w:r>
              <w:t xml:space="preserve">тории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Комиссия при Губернаторе Нижегородской области по правам человека, содействию развитию институтов гражданского общества и рассмотрению общественных инициатив 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Государственно-правовой департамент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>На постоя</w:t>
            </w:r>
            <w:r>
              <w:t xml:space="preserve">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5.6.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Исполнение поручений Губернатора Нижегородской области по выполнению </w:t>
            </w:r>
            <w:r>
              <w:lastRenderedPageBreak/>
              <w:t>предложений и рекомендаций Комиссии при Губернаторе Нижегородской области по правам человека, содействию развитию институтов гражданского общества и рассмотрению общест</w:t>
            </w:r>
            <w:r>
              <w:t xml:space="preserve">венных инициатив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Комиссия при Губернаторе Нижегородской области по правам человека, содействию </w:t>
            </w:r>
            <w:r>
              <w:lastRenderedPageBreak/>
              <w:t xml:space="preserve">развитию институтов гражданского общества и рассмотрению общественных инициатив </w:t>
            </w:r>
          </w:p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</w:t>
            </w:r>
            <w:r>
              <w:t>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5.7.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Направление уведомлений в Комиссию при Губернаторе Н</w:t>
            </w:r>
            <w:r>
              <w:t xml:space="preserve">ижегородской области по правам человека, содействию развитию институтов гражданского общества и рассмотрению общественных инициатив о принятых решениях по результатам рассмотрения заключений и рекомендаций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</w:t>
            </w:r>
            <w:r>
              <w:t>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Ежемесячно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5.8.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Участие на регулярной основе в д</w:t>
            </w:r>
            <w:r>
              <w:t xml:space="preserve">еятельности Приемной граждан Губернатора и Правительства Нижегородской области, в том числе в деятельности по выездному приему граждан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Ежемесячно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5.9.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Осущ</w:t>
            </w:r>
            <w:r>
              <w:t>ествление правового консультирования граждан и юридических лиц, в том числе с использованием информационн</w:t>
            </w:r>
            <w:proofErr w:type="gramStart"/>
            <w:r>
              <w:t>о-</w:t>
            </w:r>
            <w:proofErr w:type="gramEnd"/>
            <w:r>
              <w:t xml:space="preserve"> телекоммуникационных технологий и мобильного офиса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Государственное бюджетное учреждение Нижегородской области "Центр правового консультирования гра</w:t>
            </w:r>
            <w:r>
              <w:t>ждан и юридических лиц"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Государственно-правовой департамент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5.10.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Оказание гражданам Нижегородской области бесплатной </w:t>
            </w:r>
            <w:r>
              <w:lastRenderedPageBreak/>
              <w:t xml:space="preserve">юридической помощи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Участники государственной системы бесплатной </w:t>
            </w:r>
            <w:r>
              <w:lastRenderedPageBreak/>
              <w:t>юридической помощи (при усл</w:t>
            </w:r>
            <w:r>
              <w:t>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 xml:space="preserve">Участники негосударственной системы бесплатной юридической помощи (при условии участия в реализации мероприятия)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lastRenderedPageBreak/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lastRenderedPageBreak/>
              <w:t>5.11.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Проведение личного приема граждан органами исполнительной власти Нижегород</w:t>
            </w:r>
            <w:r>
              <w:t xml:space="preserve">ской области и органами местного самоуправления муниципальных районов, муниципальных и городских округов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Органы исполнительной власти Нижегородской области (при условии участия в реализации мероприятия)</w:t>
            </w:r>
          </w:p>
          <w:p w:rsidR="00000000" w:rsidRDefault="00507ACB">
            <w:pPr>
              <w:pStyle w:val="a3"/>
              <w:jc w:val="both"/>
            </w:pPr>
            <w:r>
              <w:t>Органы местного самоуправления</w:t>
            </w:r>
            <w:r>
              <w:t xml:space="preserve"> муниципальных районов, муниципальных и городских округов Нижегородской области (при условии участия в реализации мероприятия)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5.12.</w:t>
            </w:r>
          </w:p>
        </w:tc>
        <w:tc>
          <w:tcPr>
            <w:tcW w:w="4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 xml:space="preserve">Взаимодействие </w:t>
            </w:r>
            <w:proofErr w:type="gramStart"/>
            <w:r>
              <w:t>с общественными организациями Нижегородской области по выработке законодательных обще</w:t>
            </w:r>
            <w:r>
              <w:t>ственных инициатив с последующим направлением их в установленном порядке в Законодательное Собрание</w:t>
            </w:r>
            <w:proofErr w:type="gramEnd"/>
            <w:r>
              <w:t xml:space="preserve"> Нижегородской области </w:t>
            </w:r>
          </w:p>
        </w:tc>
        <w:tc>
          <w:tcPr>
            <w:tcW w:w="405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  <w:jc w:val="both"/>
            </w:pPr>
            <w:r>
              <w:t>Комиссия при Губернаторе Нижегородской области по правам человека, содействию развитию институтов гражданского общества и рассмотрени</w:t>
            </w:r>
            <w:r>
              <w:t>ю общественных инициатив</w:t>
            </w:r>
          </w:p>
          <w:p w:rsidR="00000000" w:rsidRDefault="00507ACB">
            <w:pPr>
              <w:pStyle w:val="a3"/>
              <w:jc w:val="both"/>
            </w:pPr>
            <w:r>
              <w:t xml:space="preserve">Государственно-правовой департамент Нижегородской области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507ACB">
            <w:pPr>
              <w:pStyle w:val="a3"/>
            </w:pPr>
            <w:r>
              <w:t xml:space="preserve">На постоянной основе </w:t>
            </w:r>
          </w:p>
        </w:tc>
      </w:tr>
    </w:tbl>
    <w:p w:rsidR="00000000" w:rsidRDefault="00507ACB">
      <w:pPr>
        <w:pStyle w:val="a3"/>
        <w:jc w:val="both"/>
      </w:pPr>
    </w:p>
    <w:p w:rsidR="00507ACB" w:rsidRDefault="00507ACB">
      <w:pPr>
        <w:pStyle w:val="a3"/>
      </w:pPr>
    </w:p>
    <w:sectPr w:rsidR="00507AC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C0"/>
    <w:rsid w:val="00507ACB"/>
    <w:rsid w:val="00CE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Нормальный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a4">
    <w:name w:val="Заголовок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customStyle="1" w:styleId="a5">
    <w:name w:val="Неформатированный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Hyperlink"/>
    <w:basedOn w:val="a0"/>
    <w:uiPriority w:val="99"/>
    <w:rPr>
      <w:color w:val="000080"/>
      <w:sz w:val="28"/>
      <w:szCs w:val="28"/>
      <w:u w:val="single"/>
    </w:rPr>
  </w:style>
  <w:style w:type="paragraph" w:customStyle="1" w:styleId="a7">
    <w:name w:val="Разметка контекста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3111</Words>
  <Characters>17734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 Юлия Олеговна</dc:creator>
  <cp:lastModifiedBy>Акишина Юлия Олеговна</cp:lastModifiedBy>
  <cp:revision>2</cp:revision>
  <dcterms:created xsi:type="dcterms:W3CDTF">2021-09-10T11:59:00Z</dcterms:created>
  <dcterms:modified xsi:type="dcterms:W3CDTF">2021-09-10T11:59:00Z</dcterms:modified>
</cp:coreProperties>
</file>