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 w:line="240" w:lineRule="auto"/>
        <w:shd w:val="clear" w:color="auto" w:fill="ffffff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0875" cy="845185"/>
                <wp:effectExtent l="19050" t="0" r="0" b="0"/>
                <wp:docPr id="1" name="Рисунок 1" descr="Безимени-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Безимени-1"/>
                        <pic:cNvPicPr>
                          <a:picLocks noChangeArrowheads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50875" cy="845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1.25pt;height:66.55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afterAutospacing="0" w:line="240" w:lineRule="auto"/>
        <w:shd w:val="clear" w:color="auto" w:fill="ffffff"/>
        <w:rPr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ГОРОДСКАЯ ДУМА ГОРОДА НИЖНЕГО НОВГОРОДА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afterAutospacing="0" w:line="240" w:lineRule="auto"/>
        <w:shd w:val="clear" w:color="auto" w:fill="ffffff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afterAutospacing="0" w:line="240" w:lineRule="auto"/>
        <w:shd w:val="clear" w:color="auto" w:fill="ffffff"/>
        <w:rPr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РЕШЕНИЕ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0" w:afterAutospacing="0" w:line="240" w:lineRule="auto"/>
        <w:shd w:val="clear" w:color="auto" w:fill="ffffff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__________</w:t>
      </w:r>
      <w:r>
        <w:rPr>
          <w:b/>
          <w:bCs/>
          <w:color w:val="000000" w:themeColor="text1"/>
          <w:sz w:val="28"/>
          <w:szCs w:val="28"/>
          <w:highlight w:val="white"/>
        </w:rPr>
        <w:tab/>
        <w:t xml:space="preserve">___</w:t>
      </w:r>
      <w:r>
        <w:rPr>
          <w:b/>
          <w:bCs/>
          <w:color w:val="000000" w:themeColor="text1"/>
          <w:sz w:val="28"/>
          <w:szCs w:val="28"/>
          <w:highlight w:val="white"/>
        </w:rPr>
        <w:tab/>
      </w:r>
      <w:r>
        <w:rPr>
          <w:b/>
          <w:bCs/>
          <w:color w:val="000000" w:themeColor="text1"/>
          <w:sz w:val="28"/>
          <w:szCs w:val="28"/>
          <w:highlight w:val="white"/>
        </w:rPr>
        <w:tab/>
      </w:r>
      <w:r>
        <w:rPr>
          <w:b/>
          <w:bCs/>
          <w:color w:val="000000" w:themeColor="text1"/>
          <w:sz w:val="28"/>
          <w:szCs w:val="28"/>
          <w:highlight w:val="white"/>
        </w:rPr>
        <w:tab/>
      </w:r>
      <w:r>
        <w:rPr>
          <w:b/>
          <w:bCs/>
          <w:color w:val="000000" w:themeColor="text1"/>
          <w:sz w:val="28"/>
          <w:szCs w:val="28"/>
          <w:highlight w:val="white"/>
        </w:rPr>
        <w:tab/>
      </w:r>
      <w:r>
        <w:rPr>
          <w:b/>
          <w:bCs/>
          <w:color w:val="000000" w:themeColor="text1"/>
          <w:sz w:val="28"/>
          <w:szCs w:val="28"/>
          <w:highlight w:val="white"/>
        </w:rPr>
        <w:tab/>
      </w:r>
      <w:r>
        <w:rPr>
          <w:b/>
          <w:bCs/>
          <w:color w:val="000000" w:themeColor="text1"/>
          <w:sz w:val="28"/>
          <w:szCs w:val="28"/>
          <w:highlight w:val="white"/>
        </w:rPr>
        <w:tab/>
      </w:r>
      <w:r>
        <w:rPr>
          <w:b/>
          <w:bCs/>
          <w:color w:val="000000" w:themeColor="text1"/>
          <w:sz w:val="28"/>
          <w:szCs w:val="28"/>
          <w:highlight w:val="white"/>
        </w:rPr>
        <w:tab/>
      </w:r>
      <w:r>
        <w:rPr>
          <w:color w:val="000000" w:themeColor="text1"/>
          <w:sz w:val="28"/>
          <w:szCs w:val="28"/>
          <w:highlight w:val="white"/>
        </w:rPr>
        <w:t xml:space="preserve">№__________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0" w:afterAutospacing="0" w:line="240" w:lineRule="auto"/>
        <w:shd w:val="clear" w:color="auto" w:fill="ffffff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val="en-US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tbl>
      <w:tblPr>
        <w:tblW w:w="4542" w:type="dxa"/>
        <w:tblInd w:w="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"/>
        <w:gridCol w:w="4068"/>
        <w:gridCol w:w="142"/>
      </w:tblGrid>
      <w:tr>
        <w:tblPrEx/>
        <w:trPr>
          <w:trHeight w:val="144"/>
        </w:trPr>
        <w:tc>
          <w:tcPr>
            <w:shd w:val="clear" w:color="auto" w:fill="ffffff"/>
            <w:tcBorders>
              <w:top w:val="single" w:color="auto" w:sz="8" w:space="0"/>
              <w:left w:val="single" w:color="auto" w:sz="8" w:space="0"/>
              <w:bottom w:val="none" w:color="000000" w:sz="4" w:space="0"/>
              <w:right w:val="none" w:color="000000" w:sz="4" w:space="0"/>
            </w:tcBorders>
            <w:tcW w:w="170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 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ffffff"/>
            <w:tcW w:w="4068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  <w:lang w:val="en-US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auto" w:sz="8" w:space="0"/>
              <w:left w:val="none" w:color="000000" w:sz="4" w:space="0"/>
              <w:bottom w:val="none" w:color="000000" w:sz="4" w:space="0"/>
              <w:right w:val="single" w:color="auto" w:sz="8" w:space="0"/>
            </w:tcBorders>
            <w:tcW w:w="142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 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1416"/>
        </w:trPr>
        <w:tc>
          <w:tcPr>
            <w:gridSpan w:val="3"/>
            <w:shd w:val="clear" w:color="auto" w:fill="ffffff"/>
            <w:tcMar>
              <w:left w:w="113" w:type="dxa"/>
              <w:top w:w="0" w:type="dxa"/>
              <w:right w:w="113" w:type="dxa"/>
              <w:bottom w:w="0" w:type="dxa"/>
            </w:tcMar>
            <w:tcW w:w="4380" w:type="dxa"/>
            <w:textDirection w:val="lrTb"/>
            <w:noWrap w:val="false"/>
          </w:tcPr>
          <w:p>
            <w:pPr>
              <w:ind w:firstLine="157"/>
              <w:jc w:val="both"/>
              <w:spacing w:after="0" w:afterAutospacing="0" w:line="240" w:lineRule="auto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О внесении изменений в Правила благоустройства территории муниципального образования городской округ город Нижний Новгород</w:t>
            </w:r>
            <w:r>
              <w:rPr>
                <w:bCs/>
                <w:color w:val="000000" w:themeColor="text1"/>
                <w:sz w:val="28"/>
                <w:szCs w:val="28"/>
                <w:highlight w:val="white"/>
              </w:rPr>
              <w:t xml:space="preserve">,  утвержденные </w:t>
            </w:r>
            <w:r>
              <w:rPr>
                <w:rFonts w:eastAsiaTheme="minorHAns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решением городской Думы города </w:t>
            </w:r>
            <w:r>
              <w:rPr>
                <w:rFonts w:eastAsiaTheme="minorHAns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Нижнего Новгорода</w:t>
            </w:r>
            <w:r>
              <w:rPr>
                <w:rFonts w:eastAsiaTheme="minorHAns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 от 27.05.2026 </w:t>
            </w:r>
            <w:r>
              <w:rPr>
                <w:rFonts w:eastAsiaTheme="minorHAns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№</w:t>
            </w:r>
            <w:r>
              <w:rPr>
                <w:rFonts w:eastAsiaTheme="minorHAns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 123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  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>
      <w:pPr>
        <w:ind w:firstLine="709"/>
        <w:jc w:val="both"/>
        <w:spacing w:after="0" w:afterAutospacing="0" w:line="240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40" w:lineRule="auto"/>
        <w:rPr>
          <w:rFonts w:eastAsiaTheme="minorHAnsi"/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white"/>
        </w:rPr>
        <w:t xml:space="preserve">В соответствии с</w:t>
      </w:r>
      <w:r>
        <w:rPr>
          <w:color w:val="000000" w:themeColor="text1"/>
          <w:sz w:val="28"/>
          <w:szCs w:val="28"/>
          <w:highlight w:val="white"/>
        </w:rPr>
        <w:t xml:space="preserve"> Федеральным законом от 20 марта 2025 года № 33-ФЗ </w:t>
      </w:r>
      <w:r>
        <w:rPr>
          <w:color w:val="000000" w:themeColor="text1"/>
          <w:sz w:val="28"/>
          <w:szCs w:val="28"/>
          <w:highlight w:val="white"/>
        </w:rPr>
        <w:t xml:space="preserve">«</w:t>
      </w:r>
      <w:r>
        <w:rPr>
          <w:color w:val="000000" w:themeColor="text1"/>
          <w:sz w:val="28"/>
          <w:szCs w:val="28"/>
          <w:highlight w:val="white"/>
        </w:rPr>
        <w:t xml:space="preserve">Об общих принципах организации местного самоуправления в единой системе публичной власти</w:t>
      </w:r>
      <w:r>
        <w:rPr>
          <w:color w:val="000000" w:themeColor="text1"/>
          <w:sz w:val="28"/>
          <w:szCs w:val="28"/>
          <w:highlight w:val="white"/>
        </w:rPr>
        <w:t xml:space="preserve">»</w:t>
      </w:r>
      <w:r>
        <w:rPr>
          <w:color w:val="000000" w:themeColor="text1"/>
          <w:sz w:val="28"/>
          <w:szCs w:val="28"/>
          <w:highlight w:val="white"/>
        </w:rPr>
        <w:t xml:space="preserve">, Уставом города Нижнего Новгорода,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</w:t>
      </w:r>
      <w:r>
        <w:rPr>
          <w:sz w:val="28"/>
          <w:szCs w:val="28"/>
        </w:rPr>
        <w:t xml:space="preserve"> целях сохранения внешнего архитектурного облика сложившейся застройк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города Нижнего Новгород</w:t>
      </w:r>
      <w:r>
        <w:rPr>
          <w:sz w:val="28"/>
          <w:szCs w:val="28"/>
        </w:rPr>
        <w:t xml:space="preserve">а</w:t>
      </w:r>
      <w:r>
        <w:rPr>
          <w:rFonts w:eastAsiaTheme="minorHAnsi"/>
          <w:color w:val="000000" w:themeColor="text1"/>
          <w:sz w:val="28"/>
          <w:szCs w:val="28"/>
          <w:highlight w:val="none"/>
        </w:rPr>
      </w:r>
      <w:r>
        <w:rPr>
          <w:rFonts w:eastAsiaTheme="minorHAnsi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eastAsiaTheme="minorHAnsi"/>
          <w:color w:val="000000" w:themeColor="text1"/>
          <w:sz w:val="28"/>
          <w:szCs w:val="28"/>
          <w:highlight w:val="white"/>
        </w:rPr>
      </w:pPr>
      <w:r>
        <w:rPr>
          <w:rFonts w:eastAsiaTheme="minorHAnsi"/>
          <w:color w:val="000000" w:themeColor="text1"/>
          <w:sz w:val="28"/>
          <w:szCs w:val="28"/>
          <w:highlight w:val="none"/>
        </w:rPr>
      </w:r>
      <w:r>
        <w:rPr>
          <w:rFonts w:eastAsiaTheme="minorHAnsi"/>
          <w:color w:val="000000" w:themeColor="text1"/>
          <w:sz w:val="28"/>
          <w:szCs w:val="28"/>
          <w:highlight w:val="white"/>
        </w:rPr>
      </w:r>
      <w:r>
        <w:rPr>
          <w:rFonts w:eastAsiaTheme="minorHAnsi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center"/>
        <w:spacing w:after="0" w:afterAutospacing="0" w:line="240" w:lineRule="auto"/>
        <w:shd w:val="clear" w:color="auto" w:fill="ffffff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ГОРОДСКАЯ ДУМА РЕШИЛА: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40" w:lineRule="auto"/>
        <w:shd w:val="clear" w:color="auto" w:fill="ffffff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pPr>
      <w:r>
        <w:rPr>
          <w:color w:val="000000" w:themeColor="text1"/>
          <w:sz w:val="28"/>
          <w:szCs w:val="28"/>
          <w:highlight w:val="white"/>
        </w:rPr>
        <w:t xml:space="preserve">1. Внести в </w:t>
      </w:r>
      <w:r>
        <w:rPr>
          <w:color w:val="000000" w:themeColor="text1"/>
          <w:sz w:val="28"/>
          <w:szCs w:val="28"/>
          <w:highlight w:val="white"/>
        </w:rPr>
        <w:t xml:space="preserve">Правила благоустройства территории муниципального образования городской округ город Нижний Новгород</w:t>
      </w:r>
      <w:r>
        <w:rPr>
          <w:bCs/>
          <w:color w:val="000000" w:themeColor="text1"/>
          <w:sz w:val="28"/>
          <w:szCs w:val="28"/>
          <w:highlight w:val="white"/>
        </w:rPr>
        <w:t xml:space="preserve">,  утвержденные </w:t>
      </w:r>
      <w:r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 xml:space="preserve">решением городской Думы города </w:t>
      </w:r>
      <w:r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 xml:space="preserve">Нижнего Новгорода</w:t>
      </w:r>
      <w:r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 xml:space="preserve"> от 27.05.2026 </w:t>
      </w:r>
      <w:r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 xml:space="preserve">№</w:t>
      </w:r>
      <w:r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 xml:space="preserve"> 123</w:t>
      </w:r>
      <w:r>
        <w:rPr>
          <w:color w:val="000000" w:themeColor="text1"/>
          <w:sz w:val="28"/>
          <w:szCs w:val="28"/>
          <w:highlight w:val="white"/>
        </w:rPr>
        <w:t xml:space="preserve">  </w:t>
      </w:r>
      <w:r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 xml:space="preserve">(далее – Правила благоустройства)</w:t>
      </w:r>
      <w:r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 xml:space="preserve"> следующие изменения:</w:t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  <w:t xml:space="preserve">1.1. В подпункте 1.9.2 Правил благоустройства:  </w:t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  <w:t xml:space="preserve">1.1.1. А</w:t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  <w:t xml:space="preserve">бзац д</w:t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  <w:t xml:space="preserve">евятый </w:t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беспечивает 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азработку архитект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урно-художественных концепций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элементов планировочной структуры, элементов улично-дорожной сети или их частей,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выдает колерный паспорт при реставрации, ремонте и покраске фасадов зданий и их отдельных элементов;».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  <w:t xml:space="preserve">1.1.2. Дополнить абзацем тридцать девятым следующего содержания:</w:t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color w:val="000000" w:themeColor="text1"/>
          <w:sz w:val="28"/>
          <w:szCs w:val="28"/>
          <w:highlight w:val="white"/>
        </w:rPr>
      </w:pPr>
      <w:r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размещение информационно-художественного оформления объектов художественной консервации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eastAsiaTheme="minorHAnsi"/>
          <w:color w:val="000000" w:themeColor="text1"/>
          <w:sz w:val="28"/>
          <w:szCs w:val="28"/>
          <w:highlight w:val="white"/>
        </w:rPr>
      </w:r>
      <w:r>
        <w:rPr>
          <w:rFonts w:eastAsiaTheme="minorHAnsi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color w:val="000000" w:themeColor="text1"/>
          <w:sz w:val="28"/>
          <w:szCs w:val="28"/>
          <w:highlight w:val="white"/>
        </w:rPr>
      </w:pPr>
      <w:r>
        <w:rPr>
          <w:rFonts w:eastAsiaTheme="minorHAnsi"/>
          <w:color w:val="000000" w:themeColor="text1"/>
          <w:sz w:val="28"/>
          <w:szCs w:val="28"/>
          <w:highlight w:val="white"/>
        </w:rPr>
      </w:r>
      <w:r>
        <w:rPr>
          <w:rFonts w:eastAsiaTheme="minorHAnsi"/>
          <w:color w:val="000000" w:themeColor="text1"/>
          <w:sz w:val="28"/>
          <w:szCs w:val="28"/>
          <w:highlight w:val="white"/>
        </w:rPr>
      </w:r>
      <w:r>
        <w:rPr>
          <w:rFonts w:eastAsiaTheme="minorHAnsi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1.2. В пункте 1.10 Правил благоустройства:</w:t>
      </w:r>
      <w:r>
        <w:rPr>
          <w:rFonts w:eastAsiaTheme="minorHAnsi"/>
          <w:color w:val="000000" w:themeColor="text1"/>
          <w:sz w:val="28"/>
          <w:szCs w:val="28"/>
          <w:highlight w:val="none"/>
        </w:rPr>
      </w:r>
      <w:r>
        <w:rPr>
          <w:rFonts w:eastAsiaTheme="minorHAnsi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1.2.1. Абзац девятый после слов (остриженной травы), дополнить словами: 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«в том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числе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участки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поверхности, травянистый покров которых был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утрачен в результате хозяйственной деятельности или в силу природных условий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;».</w:t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1.2.2. Дополнить абзацами сорок пятым – пятьдесят третьим следующего содержания: </w:t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архитектурн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о-художественная концепция территории – документ, определяющий критерии  формирования внешнего облика элемента планировочной структуры (улицы, площади, проспекта и т.д.) содержащий требования к размещению информационных конструкций на фасадах зданий, соору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жений, к типам, параметрам, цвету размещаемых информационных конструкций, а также колористическому решению зданий. Может включать в себя  требования к размещению и внешнему виду нестационарных торговых объектов, входных групп, наружных блоков систем кондиц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ионирования, информацию по декоративно-художественному оформлению ограждений и информационно-художественному оформлению объектов художественной консервации.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14:ligatures w14:val="none"/>
        </w:rPr>
      </w:r>
    </w:p>
    <w:p>
      <w:pPr>
        <w:pStyle w:val="971"/>
        <w:ind w:firstLine="567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архитектурный облик территории - пространственно-композиционное решение территории, при котором взаимоувязка объектов капита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льного строительства, всех элементов застройки (в том числе существующих, планируемых к строительству, подлежащих реконструкции, капитальному ремонту), элементов благоустройства (в том числе вывесок, ландшафтного, садово-паркового искусства и так далее), 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редств наружного рекламно-информационного оформления и окружающей среды осуществлена с учетом воплощенных архитектурных решений, соразмерности пропорций, цвета, пластики, метроритмических закономерностей и направлена на создание комфортной городской среды;</w:t>
      </w:r>
      <w:r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r>
    </w:p>
    <w:p>
      <w:pPr>
        <w:pStyle w:val="971"/>
        <w:ind w:firstLine="567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архитектурный облик объекта - внешний облик здания, строения, сооружения, воплощающий совокупность архитектурного, объемно-планировочного, композиционного, колористического, решения, которым определяются функциональные, конструктивные и 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удожественные особенности объекта;</w:t>
      </w:r>
      <w:r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r>
    </w:p>
    <w:p>
      <w:pPr>
        <w:pStyle w:val="971"/>
        <w:ind w:firstLine="567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архитектурные особенности фасада - отличительные характеристики здания, отражающие конструктивные и эстетические качества фасада, окружающей градостроительной среды (стилевая и композиционная целостность, ритм, соразмерно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сть и пропорциональность, визуальное восприятие, баланс открытых и закрытых пространств);</w:t>
      </w:r>
      <w:r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r>
    </w:p>
    <w:p>
      <w:pPr>
        <w:pStyle w:val="971"/>
        <w:ind w:firstLine="567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архитектурный элемент объекта капитального строительства - элемент, создающий внешний облик (вид) фасада объекта капитального строительства. К архитектурным элементам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объекта капитального строительства, в частности, относятся входные группы, колонны, пилястры, навесы, козырьки, карнизы, ограждения балконов, лоджий, веранды, террасы, эркеры, декоративные элементы, ограждения, дверные, витринные, арочные и оконные проемы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цоколь, кровля, водостоки, парапеты, приямки (для окон цокольного и подвального этажей);</w:t>
      </w:r>
      <w:r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4"/>
          <w:szCs w:val="24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екоративное оформление входных групп –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художественных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э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праздничного, тематического или сезонного оформления части фасада у входа в нежилое помещение зданий, сооружений или нестационарных объектов, несущих временный характер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firstLine="567"/>
        <w:jc w:val="both"/>
        <w:tabs>
          <w:tab w:val="center" w:pos="4960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магистральная улица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общегородского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или районного значения 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улица, категория которой  установлена в соответствии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ш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Новгорода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от 17.03.2010 №22;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маскирующее     ограждение     наружного    блока    системы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кондиционирования  -  конструкция,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скрывающая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наружный блок системы кондиционирования,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выполняющая декоративную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функцию для сохранения внешнего облика (вида) фасада капитального объекта; 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некапитальные (не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стационарные) объекты - строения, сооружения, конструкции, которые не имеют прочной связи с землей и конструктивные характеристики которых позволяют осуществить их перемещение и (или) демонтаж и последующую сборку без несоразмерного ущерба назначению и без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изменения основных характеристик строений, сооружений (в том числе киосков, навесов, временных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павильонов, нестационарных объектов для организации отдыха населения, временных конструкций для хранения средств индивидуальной мобильности, платежных терминалов для оплаты услуг и штрафов, общественных туалетов нестационарного типа, сезонных аттракционов)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567"/>
        <w:jc w:val="both"/>
        <w:rPr>
          <w:rFonts w:ascii="Times New Roman" w:hAnsi="Times New Roman" w:eastAsia="Times New Roman" w:cs="Times New Roman"/>
          <w:b/>
          <w:bCs/>
          <w:i/>
          <w:color w:val="333333" w:themeColor="text1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удожественная консервация объектов 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деятельность, обеспечивающая техническую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защиту и защиту от несанкционированного проникновения, информирование о статусе, привлечение общественного внимания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к объектам капитального строительства, некапитальным строениям и сооружениям, ограждениям и малым архитектурным формам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учетом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визуального, символического, исторического и социального аспектов таких объектов 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яющаяся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ш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м до начала работ по их сохранению, либо сносу».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color w:val="333333" w:themeColor="text1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i/>
          <w:color w:val="333333" w:themeColor="text1"/>
          <w:sz w:val="24"/>
          <w:szCs w:val="24"/>
          <w:highlight w:val="white"/>
          <w14:ligatures w14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1.3. В пункте 1.12 Правил благоустройства абзац 8 изложить в следующей редакции:</w:t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«некапитальные (нестационарные) строения, сооружения, конструкции».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1.4. Дополнить Правила благоустройства пунктом 2.3 следующего содержания: </w:t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firstLine="567"/>
        <w:jc w:val="both"/>
        <w:rPr>
          <w:rFonts w:ascii="Times New Roman" w:hAnsi="Times New Roman" w:cs="Times New Roman"/>
          <w:b/>
          <w:bCs/>
          <w:color w:val="0070c0" w:themeColor="text1"/>
          <w:sz w:val="24"/>
          <w:szCs w:val="24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2.3. При размещении объектов в границах муниципального образования городской округ город Нижний Новгород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присоединение проезда, подъезда, объекта придорожного сервиса к автомобильной дороге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при отсутствии согласования с владельцем автомобильной дороги не допускается». </w:t>
      </w:r>
      <w:r>
        <w:rPr>
          <w:rFonts w:ascii="Times New Roman" w:hAnsi="Times New Roman" w:cs="Times New Roman"/>
          <w:b/>
          <w:bCs/>
          <w:color w:val="0070c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 w:themeColor="text1"/>
          <w:sz w:val="24"/>
          <w:szCs w:val="24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eastAsiaTheme="minorHAnsi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1.5. Пункт 3.1 Правил благоустройства дополнить абзацем вторым следующего содержания:</w:t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eastAsiaTheme="minorHAnsi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адлежащее содержание фасадов объектов капитального строительства, нестационарных объектов обеспечивается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собственниками таких объектов».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1.6. Пункт 3.2 Правил благоустройства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«3.2. Проектирование внешнего вида зданий, строений и сооружений включает: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выбор вида отделки фасадов и материала кровли,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колористическое решение внешних пове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рхностей стен,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оборудование входных групп,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азмещение дополнительного оборудования, 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редств размещения информации,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защитных сеток,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информационно-художественное оформление объекта капитального строительства, подлежащего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художественной консервации».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1.7. Дополнить Правила благоустройства подпунктами 3.2.1 - 3.2.3 следующего содержания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3.2.1. Элементами фасадов зданий, строений и сооружений 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вляются: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входные группы;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цоколи;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внешние поверхности стен, выступающие элементы фасадов (в том числе балконы, лоджии, эркеры, карнизы);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кровли, включая вентиляционные и дымовые трубы, ограждающие решетки, выходы на кровли;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архитектурные детали и облицовка (в том числе колонны, пилястры, розетки, капители, фризы, пояски);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парапетные и оконные ограждения, решетки, металлическая отделка окон, балконов, поясков, выступов цоколей, свесов;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стационарные ограждения, прилегающие к 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даниям;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элементы дополнительного оборудования (флагодержатели, пожарные лестницы, наружные блоки систем кондиционирования и вентиляции, вентиляционные трубопроводы,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антенны, видеокамеры наружного наблюдения, почтовые ящики, часы, банкоматы, знаки остановк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городского пассажирского транспорта, знаки дорожного движения, светофоры, оборудование для обеспечения движения городского пассажирского электротранспорта, освещения территории, кабельные линии, водосточные трубы, включая воронки, пристенные электрощиты)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71"/>
        <w:ind w:left="0" w:right="0"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3.2.2.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Колористическое решение зданий определяется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утвержденной администрацией города Нижнего Новгорода архитектурно-художественной концепцией территории (при ее наличии)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либо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колерным паспортом фасада.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709"/>
        <w:jc w:val="both"/>
        <w:tabs>
          <w:tab w:val="left" w:pos="9638" w:leader="none"/>
          <w:tab w:val="left" w:pos="9780" w:leader="none"/>
          <w:tab w:val="left" w:pos="9921" w:leader="none"/>
          <w:tab w:val="left" w:pos="1020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Архитектурно-художественная концепция территории представляет собой документ,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включающий в себя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графические материалы, схемы, чертежи и текстовую часть, отображающий, в зависимости от целей и задач: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 развёртки фасадов с определением их колористического решения и указанием мест допустимого размещения информационных конструкций и дополнительного оборудования;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 требования к входны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 группам;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 требования к параметрам, типу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колористическому решению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размещаемых информационных конструкций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 места допустимого размещения нестационарных торговых объектов и их внешний вид;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 декоративно-художественное оформление, размещаемое на фасадах, ограждениях фасадов объектов капитального строительства;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информационно-художественное оформление фасадов объектов капитального строительства, подлежащих художественной консервации.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Разработка архитектурно-художественной концепции территории обеспечивается администрацией города Нижнего Новгорода.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аинтересованные 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ица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вправе обеспечить разработку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архитектурно-художественной концепции территории собственными силами или на собственные средства и представить в администрацию города Нижнего Новгорода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Архитектурно-художественная концепция территории утверждается постановлением администрации города Нижнего Новгорода.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Архитектурно-художественная концепция территории, включающая в себя здания или сооружения, являющиеся объектами культурного наследия, выявленными объектами культу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рного наследия, подлежит согласованию с Государственным управлением охраны объектов Культурного наследия Нижегородской области.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Архитектурно-художеств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енная концепция территории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подлежит обязательному применению со дня её официального опубликования и размещения на официальном сайте администрации города Нижнего Новгорода.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случае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изменения градостроительной ситуации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элемента планировочной структуры города Нижнего Новгорода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(строительство, снос, реставрация либо реконструкция зданий, строений, сооружений, изменение архитектурного решения фасадов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зданий, строений, сооружений,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комплексное благоустройство территории,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изменение транспортно-пешеходных схем,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изменение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законодательных актов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или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нормативно-правовых документов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несение изменений в архитектурно-художественную концепцию территории обеспечивается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дминистрацией города Нижнего Новгорода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срок не позднее 3 месяцев после поступления информации о наступлении указанных обстоятельств.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3.2.3. Колерный паспорт фасада выдается администрацией города Нижнего Новгорода в 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0-дневный срок со дня поступления заявления заинтересованного лица.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Колерный паспорт фасада определяет колеры (цвета) декоративной отделки поверхности наружных ограждающих конструкций, архитектурных деталей, цоколя, дверных и оконных заполнений, металлического декора, решеток, ворот, куполов, кровли.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лерный паспорт фасада действителен в течение 3 лет со дня его выдачи.»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1.8. Пункты 3.3 - 3.5 Правил благоустройства изложить в следующей редакции: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3.3. При эксплуатации фасадов не допускается: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повреждение (загрязнение) поверхности стен фасадов зданий и сооружений: подтеки, шелушение окраски, наличие трещин, отслоившейся штукатурки, облицовки, повреждение кирпичной кладки, отслоение защитного слоя железобетонных конструкций и т.п.;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повреждение (отсутствие в слу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чаях, когда их наличие предусмотрено проектной документацией) архитектурных и художественно-скульптурных деталей зданий и сооружений: колонн, пилястр, капителей, фризов, тяг, барельефов, лепных украшений, орнаментов, мозаик, художественных росписей и т.п.;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повреждение (загрязнение) выступающих элементов фасадов зданий и сооружений: балконов, лоджий, эркеров, тамбуров, карнизов, козырьков и т.п.;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strike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использование профнастила, сайдинга, металлопрофилей, металли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ческих листов,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сбестоцементного листа ("шифер"),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сотового поликарбоната, ПВХ (поливинилхлорид) панелей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и других подобных материалов для облицовки фасадов зданий, сооружений (за исключением ограждений балконов многоквартирных домов, производственных, складских, индивидуального жилищного строительства) для ограждения территорий (за исключением 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троительных) для зданий, сооружений, выходящих фасадами на территории общего пользования (в том числе площади, улицы, проезды, набережные, береговые полосы водных объектов общего пользования, скверы, бульвары); </w:t>
      </w:r>
      <w:r>
        <w:rPr>
          <w:rFonts w:ascii="Times New Roman" w:hAnsi="Times New Roman" w:eastAsia="Times New Roman" w:cs="Times New Roman"/>
          <w:b w:val="0"/>
          <w:bCs w:val="0"/>
          <w:strike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cs="Times New Roman"/>
          <w:strike/>
          <w:color w:val="000000" w:themeColor="text1"/>
          <w:highlight w:val="white"/>
        </w:rPr>
      </w:r>
      <w:r>
        <w:rPr>
          <w:rFonts w:ascii="Times New Roman" w:hAnsi="Times New Roman" w:cs="Times New Roman"/>
          <w:strike/>
          <w:color w:val="000000" w:themeColor="text1"/>
          <w:highlight w:val="white"/>
        </w:rPr>
      </w:r>
    </w:p>
    <w:p>
      <w:pPr>
        <w:pStyle w:val="97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trike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покраска отдельных фасадов в цвет, 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тличный от цвета (колористического решения) здания;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strike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покраска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частей фасада в цвет, отличный от цвета (колористического решения) фасада   </w:t>
      </w:r>
      <w:r>
        <w:rPr>
          <w:rFonts w:ascii="Times New Roman" w:hAnsi="Times New Roman" w:cs="Times New Roman"/>
          <w:strike/>
          <w:color w:val="000000" w:themeColor="text1"/>
          <w:highlight w:val="white"/>
        </w:rPr>
      </w:r>
      <w:r>
        <w:rPr>
          <w:rFonts w:ascii="Times New Roman" w:hAnsi="Times New Roman" w:cs="Times New Roman"/>
          <w:strike/>
          <w:color w:val="000000" w:themeColor="text1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самовольная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замена облицовки фасада, части фасада материалами, не предусмотренными архитектурным решением фасада;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окраска откосов и наличников, фрагментарная окраска, облицовка участка фасада вокруг входа, не соответствующие цвету и отделке фасада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окраска поверхностей, облицованных камнем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облицовка поверхностей откосов входных групп керамической плиткой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повреждение поверхностей и отделки откосов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входных групп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элементов архитектурного оформления проемов (наличников, профилей, элементов деко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ра)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закрытие существую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щих декоративных, архитектурных и художественных элементов фасада элементами входной группы новой отделкой и объектами наружной рекламы и информации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3.4. Допускается при наличии согласования с органом местного самоуправления и при условии получения ордера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изменение внешнего вида фасадов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снятие, замена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архитектурных и декоративных элементов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или устройство новых архитекту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рных деталей,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устройство новых или заделка существующих проемов,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изменение формы окон,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переоборудование или устройство новых балконов и лоджий, эркеров,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strike/>
          <w:color w:val="000000" w:themeColor="text1"/>
          <w:sz w:val="24"/>
          <w:szCs w:val="24"/>
          <w:highlight w:val="white"/>
          <w:u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застройка пространства между балконами; </w:t>
      </w:r>
      <w:r>
        <w:rPr>
          <w:rFonts w:ascii="Times New Roman" w:hAnsi="Times New Roman" w:cs="Times New Roman"/>
          <w:strike/>
          <w:color w:val="000000" w:themeColor="text1"/>
          <w:sz w:val="24"/>
          <w:szCs w:val="24"/>
          <w:highlight w:val="white"/>
          <w:u w:val="none"/>
        </w:rPr>
      </w:r>
      <w:r>
        <w:rPr>
          <w:rFonts w:ascii="Times New Roman" w:hAnsi="Times New Roman" w:cs="Times New Roman"/>
          <w:strike/>
          <w:color w:val="000000" w:themeColor="text1"/>
          <w:sz w:val="24"/>
          <w:szCs w:val="24"/>
          <w:highlight w:val="white"/>
          <w:u w:val="none"/>
        </w:rPr>
      </w:r>
    </w:p>
    <w:p>
      <w:pPr>
        <w:pStyle w:val="971"/>
        <w:ind w:left="0" w:right="0" w:firstLine="709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создание и ликвидация крылец,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изменение параметров (конфигурация, отделка и материал конструкций) существующих входных групп,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навесов, козырьков, карнизов, балконов, лоджий, веранд, террас, эркеров,  дверных, витринных, арочных и оконных проемов;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971"/>
        <w:ind w:left="0" w:right="0" w:firstLine="709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амена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отделочного материала;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971"/>
        <w:ind w:left="0" w:right="0" w:firstLine="709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зменение цветового решения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фасада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971"/>
        <w:ind w:left="0" w:right="0" w:firstLine="709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изменение конструкции, конфигурации крыши, не влекущее за собой увеличение этажности, количества этажей здания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971"/>
        <w:ind w:left="0" w:right="0" w:firstLine="709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изменение материала кровли.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3.5.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емонт фасадов зданий, строений, сооружений осуществляется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 наличии ордера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с соблюдением следующих требований: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обеспечение сохранности зеленых насаждений;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наличие ограждений;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защита щитами и пленками неподлежащих окраске поверхностей и (или) частей зданий, строений и соор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ужений: каменных или терразитовых цоколей и декора, поверхностей, облицованных керамической плиткой, мемориальных досок, а также отмостки вокруг зданий, строений и сооружений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1.9. Дополнить Правила благоустройства подпунктами 3.5.1 - 3.5.2 следующего содержания: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3.5.1. При окраске фасадов запрещается: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производство работ по окрашиванию фасадов до восстановления разрушенных или поврежденных архитектурных деталей;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окрашивание фасадов, архитектурных деталей и цоколей, выполненных из натурального камня, терразитовой штукатурки, облиц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ованных керамической плиткой;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окрашивание дверей и оконных заполнений, выполненных из дуба и других ценных пород дерева;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окрашивание откосов и наличников в цвет, диссонирующий с цветовым решением фасада;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окрашивание поверхностей, облицованных камнем.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3.5.2. Окраска части фасада возможна при условии полного соответствия цвета окрашивания колерн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ому паспорту».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1.10. Пункт 3.8. Правил благоустройства изложить в следующей редакции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«3.8. Входные группы зданий жилого и общественного назначения оснащаются осветительным оборудованием, навесом (козырьком), элементами сопряжения поверхностей (ступенями), устройствами и приспособлениями для перемещения мал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омобильных групп населения (пандусами, перилами).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Основными элементами входных групп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архитектурный проем;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архитектурное оформление проема (откосы, наличники, детали, элементы декора);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дверные заполнения;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козырьки, навесы;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ступени, лестницы, крыль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приямки (для входов в подвальные помещения);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освещение.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Допускается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оборудование 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ходных групп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декоративным оформлением.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1.11. Дополнить Правила благоустройства подпунктами 3.8.1 - 3.8.6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«3.8.1. Общие требования к устройству и оборудованию входов: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1) устройство и эксплуатация входа (входной группы) без ущерба для технического состояния 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внешнего вида фасада;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2) безопасность элементов и конструкций входа (входной группы) для жизни и здоровья граждан; 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3) единое арх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ите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ктурное решение входов (входных групп) в пределах всего фасада, не нарушающее архитектурную композицию фасада (использование единой границы входных площадок,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единых цветовой гаммы, материала входных дверей и переплетов остекления (при его наличии), ограждений и покрытий входных лестничных площадок);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4) выполнение раздела требований по доступности объектов: устанавливать пандусы для маломобильных групп населения, при отсутствии технической возможности устанавливать кнопку вызова для помощи инвалидам, с учетом мнения соответствующей общественной органи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зации, оставляющей свою деятельность по данному направлению;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5) не создавать препятствия и ограничения движению пешеходов и транспорта, ширина тротуара при этом не должна оставаться менее 2,25 м.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5) в случае организации входной группы на пешеходных коммуникациях сохранять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единообразие тротуарного покрытия;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6)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устройство козырьков в едином уровне межэтажного перекрытия здания.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7) Р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азмещение декоративного оформления входных групп должно предусматривать: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ысокое качество используемых материалов;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цветовое решение, г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армонирующее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 цветовым решением фасада;</w:t>
      </w:r>
      <w:r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  <w:highlight w:val="non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б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езопасность креплений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без ущерба для технического состояния 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внешнего вида фасада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соблюдение визуальной привлекательности на весь период размещения.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  <w:outlineLvl w:val="2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3.8.2. Возможность уст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ройства дополнительных входов и входных групп определяется на основе общей концепции с учетом архитектурно-градостроительного облика здания, строения и сооружения, планировки помещений, а также плотности размещения входов на данном фасаде без нарушения фас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адных решений и композиционных приемов здания, строения, сооружения.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3.8.3. При устройстве дополнительного входа в помещения (жилые, нежилые) в многоквартирных домах, в нежилых зданиях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зоне тротуаров улично-дорожной сети с шириной тротуара менее 2,25 м., размещение элементов дополнительного входа (ступени, пандусы, крыльцо) в зоне таких тротуаров не допускается.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3.8.4. Устройство входов, расположенных выше первого этажа, осуществляется только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дворовых фасадах, если это не нарушает архитектурное решение фасада, не ухудшает его техническое состояние и внешний вид, а также условия проживания граждан и эксплуатации здания.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3.8.5. Устройство входов с приямками в помещения подвального этажа осуществляется за пределами зоны подземных инженерных сетей с учетом ширины тротуара и проезда, установленных нормативами градостроительного проектирования.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3.8.6. Организация входов в объе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кты торговли и обслуживания осуществляется в едином комплексе с устройством и оформлением витрин,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информационным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оформлением части фасада, относящейся к объекту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торговли и обслуживания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.»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1.12. Пункт 3.10. Правил благоустройства изложить в следующей редакции: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«3.10.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Замена дверных заполнений новыми дверными конструкциями осуществляется в соответствии с единым архитектурным решением фасада, с сохранением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единой цветовой гаммы и материала входных дверей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.»</w:t>
      </w:r>
      <w:r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1.13. Дополнить Правила благоустройства подпунктом 3.10.1 следующего содержания: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3.10.1. При ремонте и за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мене дверных заполнений запрещается: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1) установка дверных за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полнений, не соответствующих характеру и цветовому решению других входов на фасаде;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2) установка глухих дверных полотен на входах, совмещенных с витринами;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3) изменение расположени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я дверного блока в проеме по отношению к плоскости фасада;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4) изменение прозрачности остекления, переплета остекления,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5) окраска и покрытие декоративными пленками поверхностей остекления на входной группе (при наличии) нарушающее общий архитектурный стиль.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6)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применять ц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ветовое решение дверных заполнений не соответствующее колерному паспорту.».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1.14. Пункт 3.12 Правил благоустройства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trike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3.12. Конструкции крепления дополнительного оборудова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ния должны иметь наименьшее число точек сопряжения с архитектурными поверхностями, обеспечивать безопасность эксплуатации для жизни и здоровья граждан. </w:t>
      </w:r>
      <w:r>
        <w:rPr>
          <w:rFonts w:ascii="Times New Roman" w:hAnsi="Times New Roman" w:eastAsia="Times New Roman" w:cs="Times New Roman"/>
          <w:strike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trike/>
          <w:sz w:val="28"/>
          <w:szCs w:val="28"/>
          <w:highlight w:val="white"/>
        </w:rPr>
      </w:r>
      <w:r>
        <w:rPr>
          <w:rFonts w:ascii="Times New Roman" w:hAnsi="Times New Roman" w:cs="Times New Roman"/>
          <w:strike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Конструкции крепления демонтированного дополнительного оборудования демонтируются, а нарушенная целост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ность поверхности фасада подлежит восстановлению.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Запрещается размещение на архитектурных деталях, элементах декора, а также крепление, ведущее к повреждению архитектурных поверхностей.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Элементы дополнительного оборудования должны поддерживаться в чистом и исправном состоянии с сохранением их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архитектурно-художественного облика.»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>
        <w:rPr>
          <w:rFonts w:ascii="Times New Roman" w:hAnsi="Times New Roman" w:cs="Times New Roman"/>
          <w:sz w:val="28"/>
          <w:szCs w:val="28"/>
          <w:highlight w:val="green"/>
        </w:rPr>
      </w:r>
      <w:r>
        <w:rPr>
          <w:rFonts w:ascii="Times New Roman" w:hAnsi="Times New Roman" w:cs="Times New Roman"/>
          <w:sz w:val="28"/>
          <w:szCs w:val="28"/>
          <w:highlight w:val="green"/>
        </w:rPr>
      </w:r>
      <w:r>
        <w:rPr>
          <w:rFonts w:ascii="Times New Roman" w:hAnsi="Times New Roman" w:cs="Times New Roman"/>
          <w:sz w:val="28"/>
          <w:szCs w:val="28"/>
          <w:highlight w:val="green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green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1.15. Дополнить Правила благоустройства подпунктами 3.12.1 - 3.12.3 следующего содержания:</w:t>
      </w:r>
      <w:r>
        <w:rPr>
          <w:rFonts w:ascii="Times New Roman" w:hAnsi="Times New Roman" w:cs="Times New Roman"/>
          <w:sz w:val="28"/>
          <w:szCs w:val="28"/>
          <w:highlight w:val="green"/>
        </w:rPr>
      </w:r>
      <w:r>
        <w:rPr>
          <w:rFonts w:ascii="Times New Roman" w:hAnsi="Times New Roman" w:cs="Times New Roman"/>
          <w:sz w:val="28"/>
          <w:szCs w:val="28"/>
          <w:highlight w:val="green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3.12.1. Наружные блоки систем кондиционирования и вентиляции, </w:t>
      </w:r>
      <w:r>
        <w:rPr>
          <w:rFonts w:ascii="Times New Roman" w:hAnsi="Times New Roman" w:eastAsia="Times New Roman" w:cs="Times New Roman"/>
          <w:strike/>
          <w:sz w:val="28"/>
          <w:szCs w:val="28"/>
          <w:highlight w:val="white"/>
        </w:rPr>
        <w:t xml:space="preserve">антенны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размещаются упорядоченно, с привязкой к архитектурному решению фасада и единой системе осей, с использованием стандартных конструкций крепления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ограждения, при размещении ряда элементов - на общей несущей основе.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Размещение наружных блоков систем кондиционирован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ия и вентиляции на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зданиях, строениях, сооружениях, расположенных вдоль магистральных улиц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общегородского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районного значения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муниципального образования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осуществляется в соответствии с архитектурно-художественными концепци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ями таких улиц (при их наличии).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 установке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наружных блоков систем кондиционирования и вентиляции их размещение в пределах фасадов должно обеспечиваться с использованием маскирующих ограждений.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Внешний вид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маскирующих ограждений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должен быть единым в пределах одного ф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асада, цветовое решение должно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соответствовать колористическому решению фасадов, установленному паспортом на декоративный ремонт и окраску фасадов здания, архитектурно-художественной концепции территории или проектной документации на строительство объекта.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3.12.2. Видеокамеры наружного наблюдения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размещаются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участках фасада, свободных от архитектурных деталей, декора,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под навесами, козырьками, балконами, эркерами (при их наличии).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3.12.3. Размещение банкоматов на фасадах допускается в виде: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встроенного в объем витрины при условии сохранения единой плоскости;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встроенного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нише или дверном проеме при условии, что он не используется в качестве входа, с сохранением архитектурного решения фасада, габаритов проема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1.16. Пункт 3.13 Правил благоустройства изложить с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3.13.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асады зданий в пределах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исторических территорий города Нижнего Новгорода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находящиеся в неудовлетворительном состоянии (пострадавшие от пожара, частично разрушенные, находящиеся в аварийном состоянии, утратившие конструктивные и архитектурные элементы) подлежат художественной консервации.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Методы выбора информационно-художественного оформления определены в Приложении № 6 к настоящим Правилам.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Размещение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нформационно-художественного оформления объектов консервации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щ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э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ъ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1.17.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Дополнить Правила благоустройства подпунктами 3.13.1 - 3.13.3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71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3.13.1.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опускается информационно-художественное оформление объектов консервации с полным или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частичным перекрытием фасада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 учетом его архитектурных особенностей с учетом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визуального, символического, исторического и социального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</w:p>
    <w:p>
      <w:pPr>
        <w:pStyle w:val="971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Проект информационно-художественного оформления объекта консервации разрабатывается в соответствии с требованиями, установленными 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приложении 4 к настоящим Правилам благоустройства и подлежит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согласованию с администрацией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города Нижнего Новгорода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</w:p>
    <w:p>
      <w:pPr>
        <w:pStyle w:val="971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Размещение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декоративно-информационного оформления объектов художественной консервации на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зданиях или сооружениях, являющихся объектами культурного наследия, выявленными объектами кул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ьтурного наследия, подлежит согласованию с Государственным управлением охраны объектов культурного наследия Нижегородской области.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3.13.2.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Перекрытие оконных и дверных проемов, закрытие ар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хитектурных деталей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информационно-художественным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оформлением объектов консервации должно быть выполнено с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имитацией утраченных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или законсервированных элементов и с размещением информации об объекте.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3.13.3.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 реализации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информационно-художественного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оформления объектов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консервации должны использоваться долговечные износостойкие материалы.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Элементы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информационно-художественного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оформления объектов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консервации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не должны иметь повреждений.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971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 повреждениях, износе или утрате целостности материала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информационно-художественного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оформления, материалы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одлежат своевременной замене его владельцем»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pStyle w:val="971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</w:p>
    <w:p>
      <w:pPr>
        <w:pStyle w:val="971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1.18. Пункт 3.20 Правил благоустройства дополнить абзацем 2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pStyle w:val="1000"/>
        <w:ind w:left="0" w:right="0" w:firstLine="709"/>
        <w:jc w:val="both"/>
        <w:spacing w:before="0" w:beforeAutospacing="0" w:after="0" w:afterAutospacing="0" w:line="320" w:lineRule="exac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Фасады зданий, строений и сооружений в пределах исторической территории Нижнего Новгорода закрываются ограждениями с декоративно-художественным оформлением».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</w:p>
    <w:p>
      <w:pPr>
        <w:pStyle w:val="971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1.19. Пункт 4.1 Правил благоустройства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«4.1. Проектирование и размещение элементов благоустройства осуществляются в соответствии с градостроительным и земельным законодательством, Правилами благоустройства.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Размещение объектов и элементов благоустройства, осуществляется на основании проекта благоустройства, разработанного заинтересованным лицом и согласованного администрацией города Нижнего Новгорода.</w:t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Порядок согласования проекта благоустройства территории, основания для отказа в согласовании устанавливаются правовым актом администрации города Нижнего Новгорода».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1.20. Дополнить Правила благоустройства подпунктами 4.1.1 - 4.1.3  следующего содержания:</w:t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«4.1.1. При проектировании объектов благоустройства необходимо пре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дусматривать доступность среды населенных пунктов для маломобильных групп населения, оснащение этих объектов элементами и техническими средствами, способствующими передвижению маломобильных групп населения.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4.1.2. При проектировании объектов благоустройства необх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одимо обеспечивать: </w:t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открытость и проницаемость территорий для визуального восприятия;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условия беспрепятственного передвижения населения 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приемы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поддержки исторически сложившейся планировочной структуры и масштаба застройки;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остижение стилевого единства элементов благоустройства с окружающей средой;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визуальную привлекательность среды как места коммуникации и общения, способные привлекать посетителей;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высокий уровень комфорта пребывания;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защиту от вредных факторов среды (шум,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ыль, загазованность) эффективными архитектурно-планировочными приемами.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4.1.3. Установка элементов благоустройства должна исключать возможность перемещения их вручную.</w:t>
      </w:r>
      <w:r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Элементы благоустройства должны содержаться в чистоте, не иметь повреждений, должны быть безопасны для жизни и здоровья. </w:t>
      </w:r>
      <w:r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70c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Элементы благоустройства, выполненные из черного металла или дерева, должны ежегодно окрашиваться. </w:t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Элементы благоустройства, выполненн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ые из камня или бетона, подлежат ежегодной побелке или окрашиванию, за исключением случаев использования естественного цвета камня или дерева в декоративной отделке».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971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1.21. Таблицу №1 Правил благоустройства дополнить строкой следующего содержания: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971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14:ligatures w14:val="none"/>
        </w:rPr>
      </w:r>
    </w:p>
    <w:tbl>
      <w:tblPr>
        <w:tblW w:w="9921" w:type="dxa"/>
        <w:tblLayout w:type="fixed"/>
        <w:tblLook w:val="0000" w:firstRow="0" w:lastRow="0" w:firstColumn="0" w:lastColumn="0" w:noHBand="0" w:noVBand="0"/>
      </w:tblPr>
      <w:tblGrid>
        <w:gridCol w:w="5328"/>
        <w:gridCol w:w="2717"/>
        <w:gridCol w:w="1876"/>
      </w:tblGrid>
      <w:tr>
        <w:tblPrEx/>
        <w:trPr>
          <w:trHeight w:val="6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  <w:t xml:space="preserve">Ограждение земельного участка, территории 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  <w:t xml:space="preserve">среднерослого - 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  <w:t xml:space="preserve">2,0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  <w:t xml:space="preserve">высокорослого - 3,0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6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  <w:t xml:space="preserve">1,0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</w:p>
        </w:tc>
      </w:tr>
    </w:tbl>
    <w:p>
      <w:pPr>
        <w:pStyle w:val="971"/>
        <w:ind w:left="0" w:right="0" w:firstLine="709"/>
        <w:jc w:val="right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.»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1.22. Подпункт 4.5.1 Правил благоустройства изложить в следующей редакции: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«4.5.1. Общие требования к малым архитектурным формам: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Малые архитектурные формы могут быть стационарными и мобильными, их количество и размещение определяются проектами благоустройства территорий, согласованными администрацией города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Нижнего Новгорода.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Установка малых архитектурных форм на землях (территориях) общего пользования производится после получения разрешения на их установку в соответствии с Земельным кодексом Российской Федерации.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Малые архитектурные формы должны соответствовать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архитектурному и ландшафтному окружению, должны быть взаимоувязаны с иными элементами благоустройства территории.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При размещении малых архитектурных форм должны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соблюдаться нормативные расстояния до инженерных сетей и коммуникаций, 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арушение существующих транспортных и пешеходных связей не допускается.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Фиксация малых архитектурных форм должна исключать возможность их перемещения вруч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ную и обеспечивать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возможность механизированной и ручной очистки территории рядом с малыми архитектурными формами и под ними (при необходимости)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Конструктивные решения и материал изготовления малых архитектурных форм должны обеспечивать их устойчивость и безопасность пользования,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возможность ремонта или замены деталей малых архитектурных форм,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защиту от образования наледи и снежных заносов, обеспечение стока воды,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эстетичность, функциональность, прочность, надежность 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сохранность малых архитектурных форм на протяжении длительного периода с учетом неблагоприятного воздействия внешней среды,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антивандальную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защищенность от разрушения, защищенность от оклейки, нанесения надписей и изображений.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Малые архитектурные формы должны содержаться в чистоте и не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иметь повреждений.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Ремонт и покраска малых архитектурных форм осуществляются в срок до 1 мая каждого года».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1.23. Дополнить Правила благоустройства подпунктом 4.7.12 следующего содержания: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«4.7.12.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Соблюдение требований технических регламентов и требований законодательства о санитарно-эпидемиологическом благополучии населения при монтаже и эксплуатации средства наружного рекламно-информационного оформления обеспечивается владельцем такого средства».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1.24. Пункт 4.8 Правил благоустройства изложить в следующей редакции: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«4.8. Некапитальные (нестационарные) строения, сооружения, конструкции.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Размещение некапитальных (нестационарных) объектов осуществляется с учетом принципов функционального зонирования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территории города,  в целях сохранения архитектурного облика сложившейся застройки, а также благоустройства и создания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комфортной </w:t>
      </w:r>
      <w:r>
        <w:rPr>
          <w:rFonts w:ascii="Times New Roman" w:hAnsi="Times New Roman" w:eastAsia="Times New Roman" w:cs="Times New Roman"/>
          <w:b w:val="0"/>
          <w:bCs w:val="0"/>
          <w:strike w:val="0"/>
          <w:color w:val="000000" w:themeColor="text1"/>
          <w:sz w:val="28"/>
          <w:szCs w:val="28"/>
          <w:highlight w:val="white"/>
        </w:rPr>
        <w:t xml:space="preserve">пешеходно-транспортных связей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повышения уровня комфортности проживания граждан.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Размещение некапитальных (нестационарных) объектов не допускается:</w:t>
      </w:r>
      <w:r>
        <w:rPr>
          <w:rFonts w:ascii="Times New Roman" w:hAnsi="Times New Roman" w:eastAsia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арках зданий, на расстоянии менее 5 м от окон зданий и витрин стационарных торговых объектов;</w:t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 газонах, цветниках, площадках (детских, отдыха, спортивных); </w:t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границах публичных сервитутов;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 местах (площадках) накопления отходов, а также на площадках для отдыха на придомовых территориях;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 расстоян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ии ближе 5 м от входов (выходов) надземных и подземных пешеходных переходов; 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25-метровой зоне от периметра технических сооружений и наземных вестибюлей станций метрополитена, за исключением торговых автоматов на станциях метрополитена и киосков со сп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ециализацией: продажа периодической печатной продукции, театральных билетов, билетов на городской пассажирский транспорт, аптечных товаров;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охранной зоне сетей инженерно-технического обеспечения, под железнодорожными путепроводами и автомобильными эст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акадами, а также в 5-метровой охранной зоне от входов (выходов) в подземные пешеходные переходы;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 тротуарах, если свободная ширина прохода от крайних элементов нестационарного торгового объекта до края проезжей части, а также границ парковочной размет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ки автотранспорта, опор конструкций, стволов деревьев, других отдельно стоящих выступающих элементов, включая здания, строения, сооружения,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будет составлять менее 2,25 м и (или)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не позволяет обеспечить беспрепятственное пешеходное движение в соответствии с установленными требованиями (СП 42.13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330.2016 "Свод правил. Градостроительство. Планировка и застройка городских и сельских поселений. Актуализированная редакция СНиП 2.07.01-89*").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 расстоянии ближе 1,5 м от края проезжей части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 нарушением противопожарных правил, нормативов;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случае создания препятствия движению пешеходов, проезду пожарного и медицинского транспорта,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аварийно-спасательной техники;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границах территорий объектов культурного наследия, если в соответствии с требованиями к градостроительным регламентам и режимами испо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льзования земель данных территорий размещение нестационарных объектов отдельных видов запрещено;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границах зон охраны объектов культурного наследия, если в соответствии с требованиями к градостроительным регламентам и режимами использования земель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данных зон охраны размещение нестационарных объектов запрещено;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если размещение нестационарного объекта приведет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к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нарушению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асфальтобетонного покрытия тротуаров и целостности иных объектов благоустройства, к повреждению, перемещению малых архитектурных форм, уличного коммунально-бытового и технического оборудования, дорожных знаков и иных элементов благоустройства.</w:t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bookmarkEnd w:id="0"/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если для размещения нестационарного объекта необходимо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асфальтирование или сплошное мощение газонов, а также приствольных кругов в радиусе 1,5 м от ствола, с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вырубкой кустарников, древесной растительности, на территории, прилегающей к нестационарному объекту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1.25. Подпункт 4.8.1 Правил благоустройства изложить в следующей редакции: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«4.8.1.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При размещении нестационарного объекта осуществляется проектирование благоустро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йства, прилегающей к нестационарному объекту территории в радиусе не менее 5 (пяти) метров, с обязательным отображением транспортных и пешеходных связей. 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При благоустройстве территорий, на которых расположены нестационарные объекты, необходимо учитывать обе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спечение свободного доступа потребителей к объектам, в том числе обеспечение безбарьерной среды жизнедеятельности для инвалидов и иных маломобильных групп населения, организацию пешеходных дорожек с твердым покрытием.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b/>
          <w:bCs/>
          <w:color w:val="0070c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Отделочные материалы нестационарных объектов должны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отвечать санитарно-гигиеническим требованиям, нормам противопожарной безопасности, архитектурно-художественным требованиям городского дизайна и освещения, характеру сложившейся среды населенного пункта и условиям долговременной эксплуатации.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70c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70c0" w:themeColor="text1"/>
          <w:sz w:val="28"/>
          <w:szCs w:val="28"/>
          <w:highlight w:val="white"/>
          <w14:ligatures w14:val="non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При остеклени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 витрин нестационарных объектов следует применять безосколочные, ударостойкие материалы, безопасные упрочняющие многослойные пленочные покрытия, поликарбонатные стекла. 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При размещении нестационарных объектов следует применять быстровозводимые модульные 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омплексы, выполняемые из легких конструкций и отвечающие требования безопасности, с соблюдением требований государственных и национальных стандартов, технических норм и правил.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Нестационарные объекты оснащаются осветительным оборудованием, урнами и контейнерами для мусора.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Нестационарные объекты мелкорозничной торговли, бытового обслуживания и общественного питания размещаются на площадках с твердым покрытием.</w:t>
      </w:r>
      <w:r>
        <w:rPr>
          <w:rFonts w:ascii="Times New Roman" w:hAnsi="Times New Roman" w:eastAsia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 истечении срока размещения нестационарный объект подлежит демонтажу, а зем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ельный участок (земли) подлежит освобождению от элементов благоустройства и дополнительного оборудования с последующей горизонтальной планировкой грунта.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Размещение остановочных павильонов предусматривается в местах остановок наземного пассажирского транспорта».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1.26. Абзац восьмой подпункта 4.8.3 Правил благоустройства изложить в следующей редакции: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«Местоположение и размеры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информационного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оформления, размещаемого на НТО, определяются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типовым  или индивидуально разработанным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форэскизом НТО».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1.27. В абзаце двадцатом подпункта 4.8.4. Правил благоустройства слова «вывесок» заменить словами «информации»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1.28.  Дополнить Правила благоустройства подпунктом 4.8.5 следующего содержания: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«4.8.5. Требования к размещению некапитальных сооружений гаражей.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Некапитальное сооружение гаража - металлическая сборно-разборная конструкция модульного типа высотой не более 3 метров. 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Окраска (стены, ворота, кровля) осуществляется в соответствии с каталогом цветов по RAL CLASSIC: RAL 6011, 6025, 7023, 7035, 7037, 7046, 8025.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Площадь земель, части земельного участка или земельного участка для размещения некапитального сооружения гаража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 должна превышать 30 кв.м.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Размещение некапитального сооружения гаража осуществляется на искусственно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й поверхности (твердое покрытие), размещение на открытом грунте, травянистом покрытии не допускается;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 некапитальному сооружению гаража с территории общего пользования должен быть обеспечен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роезд с твердым покрытием,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размещение некапитального сооружения гаража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 должно препятствовать пешеходному движению, должно обеспечивать беспрепятственный проезд автотранспорта, включая транспорт экстренных оперативных служб.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 допускается размещение объектов на тепловых сетях, газовых сетях, линиях водоснабжения и водоотведения, связи и линиях электропередачи».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1.29. Пункт 5.7 Правил благоустройства дополнить абзацем четвертым следующего содержания: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Допускается организация внутренней подсветки оконных проемов исключительно с белым свечением. Применение цветной подсветки оконных проемов запрещается».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1.30. Абзац шестой пункта 7.5 Правил благоустройства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указатели с информацией 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 возможным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использованием Qr-кодов)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зданиях, строениях сооружениях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том числе для объектов художественной консервации,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индивидуальным образцам».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1.31. В пункте 7.17 Правил благоустройства: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1.28.1. В абзаце первом слова «в виде таблицы» исключить.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1.28.2. Абзац третий исключить.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1.32. Подпункт 8.3.2 Правил благоустройства дополнить абзацами вторым-пятым следующего содержания: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 парковке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 территории общего пользования должен быть обеспечен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роезд с твердым покрытием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Подъездные пути к участкам организованной стоянки автотранспортных средств не должны пересекаться с основными направлениями пешеходных путей.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 допускается организация транзитных пешеходных путей через участок длительной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и кратковременной стоянки автотранспортных средств.</w:t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 допускается размещение парковок на тепловых сетях, газовых сетях, линиях водоснабжения и водоотведения, связи и линиях электропередачи».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1.33. 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Дополнить Правила благоустройства подпунктом 8.3.4. следующего содержания: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71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«8.3.4.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Стоянка транспортного средства для передвижения инвалида должна быть оборудована искусственной поверхностью (твердым покрытием) и техническими средствами организации дорожного движения в соответствии с ГОСТ Р 52289-2019»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1.34. Дополнить Правила благоустройства Приложением № 6 согласно Приложению 1 к настоящему постановлению. 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color w:val="000000" w:themeColor="text1"/>
          <w:sz w:val="28"/>
          <w:szCs w:val="28"/>
          <w:highlight w:val="white"/>
        </w:rPr>
      </w:pPr>
      <w:r>
        <w:rPr>
          <w:rStyle w:val="1014"/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2. </w:t>
      </w:r>
      <w:r>
        <w:rPr>
          <w:color w:val="000000" w:themeColor="text1"/>
          <w:sz w:val="28"/>
          <w:szCs w:val="28"/>
          <w:highlight w:val="white"/>
        </w:rPr>
        <w:t xml:space="preserve">Решение вступает в силу с 01 марта 2027 года.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40" w:lineRule="auto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40" w:lineRule="auto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47"/>
        <w:gridCol w:w="4974"/>
      </w:tblGrid>
      <w:tr>
        <w:tblPrEx/>
        <w:trPr/>
        <w:tc>
          <w:tcPr>
            <w:shd w:val="clear" w:color="auto" w:fill="auto"/>
            <w:tcW w:w="4947" w:type="dxa"/>
            <w:textDirection w:val="lrTb"/>
            <w:noWrap w:val="false"/>
          </w:tcPr>
          <w:p>
            <w:pPr>
              <w:ind w:left="57" w:right="0" w:firstLine="85"/>
              <w:jc w:val="both"/>
              <w:spacing w:after="0" w:afterAutospacing="0" w:line="240" w:lineRule="auto"/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  <w:suppressLineNumbers w:val="0"/>
            </w:pP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Глава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left="57" w:right="0" w:firstLine="85"/>
              <w:jc w:val="both"/>
              <w:spacing w:after="0" w:afterAutospacing="0" w:line="240" w:lineRule="auto"/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  <w:suppressLineNumbers w:val="0"/>
            </w:pP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города Нижнего Новгорода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left="57" w:right="0" w:firstLine="85"/>
              <w:jc w:val="both"/>
              <w:spacing w:after="0" w:afterAutospacing="0" w:line="240" w:lineRule="auto"/>
              <w:rPr>
                <w:rFonts w:eastAsia="Calibri"/>
                <w:color w:val="000000" w:themeColor="text1"/>
                <w:sz w:val="28"/>
                <w:szCs w:val="28"/>
                <w:highlight w:val="none"/>
                <w:lang w:eastAsia="en-US"/>
              </w:rPr>
              <w:suppressLineNumbers w:val="0"/>
            </w:pP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                           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none"/>
                <w:lang w:eastAsia="en-US"/>
              </w:rPr>
            </w:r>
          </w:p>
          <w:p>
            <w:pPr>
              <w:ind w:left="57" w:right="0" w:firstLine="85"/>
              <w:jc w:val="both"/>
              <w:spacing w:after="0" w:afterAutospacing="0" w:line="240" w:lineRule="auto"/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  <w:suppressLineNumbers w:val="0"/>
            </w:pPr>
            <w:r>
              <w:rPr>
                <w:rFonts w:eastAsia="Calibri"/>
                <w:color w:val="000000" w:themeColor="text1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left="57" w:right="0" w:firstLine="85"/>
              <w:jc w:val="right"/>
              <w:spacing w:after="0" w:afterAutospacing="0" w:line="240" w:lineRule="auto"/>
              <w:rPr>
                <w:color w:val="000000" w:themeColor="text1"/>
                <w:sz w:val="28"/>
                <w:szCs w:val="28"/>
                <w:highlight w:val="white"/>
              </w:rPr>
              <w:suppressLineNumbers w:val="0"/>
            </w:pP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                                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Ю.В.Шалабаев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4974" w:type="dxa"/>
            <w:textDirection w:val="lrTb"/>
            <w:noWrap w:val="false"/>
          </w:tcPr>
          <w:p>
            <w:pPr>
              <w:contextualSpacing/>
              <w:ind w:left="57" w:right="0" w:firstLine="85"/>
              <w:jc w:val="both"/>
              <w:spacing w:after="0" w:afterAutospacing="0" w:line="240" w:lineRule="auto"/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  <w:suppressLineNumbers w:val="0"/>
            </w:pP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Председатель 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contextualSpacing/>
              <w:ind w:left="57" w:right="0" w:firstLine="85"/>
              <w:jc w:val="both"/>
              <w:spacing w:after="0" w:afterAutospacing="0" w:line="240" w:lineRule="auto"/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  <w:suppressLineNumbers w:val="0"/>
            </w:pP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городской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Думы 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contextualSpacing/>
              <w:ind w:left="57" w:right="0" w:firstLine="85"/>
              <w:jc w:val="both"/>
              <w:spacing w:after="0" w:afterAutospacing="0" w:line="240" w:lineRule="auto"/>
              <w:rPr>
                <w:rFonts w:eastAsia="Calibri"/>
                <w:color w:val="000000" w:themeColor="text1"/>
                <w:sz w:val="28"/>
                <w:szCs w:val="28"/>
                <w:highlight w:val="none"/>
                <w:lang w:eastAsia="en-US"/>
              </w:rPr>
              <w:suppressLineNumbers w:val="0"/>
            </w:pP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города Нижнего Новгорода 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none"/>
                <w:lang w:eastAsia="en-US"/>
              </w:rPr>
            </w:r>
          </w:p>
          <w:p>
            <w:pPr>
              <w:contextualSpacing/>
              <w:ind w:left="57" w:right="0" w:firstLine="85"/>
              <w:jc w:val="both"/>
              <w:spacing w:after="0" w:afterAutospacing="0" w:line="240" w:lineRule="auto"/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  <w:suppressLineNumbers w:val="0"/>
            </w:pPr>
            <w:r>
              <w:rPr>
                <w:rFonts w:eastAsia="Calibri"/>
                <w:color w:val="000000" w:themeColor="text1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contextualSpacing/>
              <w:ind w:left="57" w:right="0" w:firstLine="85"/>
              <w:jc w:val="both"/>
              <w:spacing w:after="0" w:afterAutospacing="0" w:line="240" w:lineRule="auto"/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  <w:suppressLineNumbers w:val="0"/>
            </w:pP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                         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       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Е.А. Чинцов</w:t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br w:type="page" w:clear="all"/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right"/>
        <w:spacing w:after="0" w:line="57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green"/>
        </w:rPr>
      </w:r>
      <w:r>
        <w:rPr>
          <w:rFonts w:ascii="Times New Roman" w:hAnsi="Times New Roman" w:cs="Times New Roman"/>
          <w:sz w:val="28"/>
          <w:szCs w:val="28"/>
          <w:highlight w:val="green"/>
        </w:rPr>
        <w:t xml:space="preserve">Приложение N 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</w:r>
    </w:p>
    <w:p>
      <w:pPr>
        <w:ind w:left="0" w:right="0" w:firstLine="709"/>
        <w:jc w:val="right"/>
        <w:spacing w:after="0" w:line="57" w:lineRule="atLeast"/>
        <w:rPr>
          <w:rFonts w:ascii="Times New Roman" w:hAnsi="Times New Roman" w:eastAsia="Times New Roman" w:cs="Times New Roman"/>
          <w:sz w:val="28"/>
          <w:szCs w:val="28"/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  <w:t xml:space="preserve">к Правилам благоустройства</w:t>
      </w:r>
      <w:r>
        <w:rPr>
          <w:rFonts w:ascii="Times New Roman" w:hAnsi="Times New Roman" w:eastAsia="Times New Roman" w:cs="Times New Roman"/>
          <w:sz w:val="28"/>
          <w:szCs w:val="28"/>
          <w:highlight w:val="green"/>
        </w:rPr>
      </w:r>
      <w:r>
        <w:rPr>
          <w:rFonts w:ascii="Times New Roman" w:hAnsi="Times New Roman" w:eastAsia="Times New Roman" w:cs="Times New Roman"/>
          <w:sz w:val="28"/>
          <w:szCs w:val="28"/>
          <w:highlight w:val="green"/>
        </w:rPr>
      </w:r>
    </w:p>
    <w:p>
      <w:pPr>
        <w:ind w:left="0" w:right="0" w:firstLine="709"/>
        <w:jc w:val="right"/>
        <w:spacing w:after="0" w:line="57" w:lineRule="atLeast"/>
        <w:rPr>
          <w:sz w:val="28"/>
          <w:szCs w:val="28"/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  <w:t xml:space="preserve">территории муниципального образования</w:t>
      </w:r>
      <w:r>
        <w:rPr>
          <w:sz w:val="28"/>
          <w:szCs w:val="28"/>
          <w:highlight w:val="green"/>
        </w:rPr>
      </w:r>
      <w:r>
        <w:rPr>
          <w:sz w:val="28"/>
          <w:szCs w:val="28"/>
          <w:highlight w:val="green"/>
        </w:rPr>
      </w:r>
    </w:p>
    <w:p>
      <w:pPr>
        <w:ind w:left="0" w:right="0" w:firstLine="709"/>
        <w:jc w:val="right"/>
        <w:spacing w:after="0" w:line="57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  <w:t xml:space="preserve">город Нижний Новгород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</w:r>
    </w:p>
    <w:p>
      <w:pPr>
        <w:ind w:left="0" w:right="0" w:firstLine="709"/>
        <w:jc w:val="center"/>
        <w:spacing w:after="0" w:line="57" w:lineRule="atLeast"/>
        <w:rPr>
          <w:rFonts w:ascii="Times New Roman" w:hAnsi="Times New Roman" w:eastAsia="Times New Roman" w:cs="Times New Roman"/>
          <w:sz w:val="28"/>
          <w:szCs w:val="28"/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</w:r>
      <w:r>
        <w:rPr>
          <w:rFonts w:ascii="Times New Roman" w:hAnsi="Times New Roman" w:eastAsia="Times New Roman" w:cs="Times New Roman"/>
          <w:sz w:val="28"/>
          <w:szCs w:val="28"/>
          <w:highlight w:val="green"/>
        </w:rPr>
      </w:r>
      <w:r>
        <w:rPr>
          <w:rFonts w:ascii="Times New Roman" w:hAnsi="Times New Roman" w:eastAsia="Times New Roman" w:cs="Times New Roman"/>
          <w:sz w:val="28"/>
          <w:szCs w:val="28"/>
          <w:highlight w:val="green"/>
        </w:rPr>
      </w:r>
    </w:p>
    <w:p>
      <w:pPr>
        <w:ind w:left="0" w:right="0" w:firstLine="709"/>
        <w:jc w:val="center"/>
        <w:spacing w:after="0" w:line="57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  <w:t xml:space="preserve">Методы </w:t>
      </w:r>
      <w:r>
        <w:rPr>
          <w:rFonts w:ascii="Times New Roman" w:hAnsi="Times New Roman" w:eastAsia="Times New Roman" w:cs="Times New Roman"/>
          <w:sz w:val="28"/>
          <w:szCs w:val="28"/>
          <w:highlight w:val="green"/>
        </w:rPr>
        <w:t xml:space="preserve">информационно-художественного оформления объекта консервации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green"/>
        </w:rPr>
      </w:r>
    </w:p>
    <w:p>
      <w:pPr>
        <w:ind w:left="0" w:right="0" w:firstLine="709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9835" cy="3819048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78788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rcRect l="0" t="3598" r="0" b="10504"/>
                        <a:stretch/>
                      </pic:blipFill>
                      <pic:spPr bwMode="auto">
                        <a:xfrm flipH="0" flipV="0">
                          <a:off x="0" y="0"/>
                          <a:ext cx="6299833" cy="38190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05pt;height:300.71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9835" cy="3817327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459881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0" t="2680" r="0" b="11462"/>
                        <a:stretch/>
                      </pic:blipFill>
                      <pic:spPr bwMode="auto">
                        <a:xfrm flipH="0" flipV="0">
                          <a:off x="0" y="0"/>
                          <a:ext cx="6299833" cy="381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05pt;height:300.58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9835" cy="4446122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116823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299833" cy="44461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05pt;height:350.09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ind w:firstLine="0"/>
        <w:jc w:val="both"/>
        <w:spacing w:before="0" w:after="0" w:afterAutospacing="0" w:line="240" w:lineRule="auto"/>
        <w:shd w:val="clear" w:color="auto" w:fill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9835" cy="3233102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715842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rcRect l="0" t="0" r="0" b="27281"/>
                        <a:stretch/>
                      </pic:blipFill>
                      <pic:spPr bwMode="auto">
                        <a:xfrm flipH="0" flipV="0">
                          <a:off x="0" y="0"/>
                          <a:ext cx="6299833" cy="32331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05pt;height:254.57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color w:val="000000" w:themeColor="text1"/>
          <w:sz w:val="28"/>
          <w:szCs w:val="28"/>
          <w:highlight w:val="white"/>
        </w:rPr>
      </w:r>
      <w:bookmarkStart w:id="0" w:name="_GoBack"/>
      <w:r>
        <w:rPr>
          <w:color w:val="000000" w:themeColor="text1"/>
          <w:sz w:val="28"/>
          <w:szCs w:val="28"/>
          <w:highlight w:val="white"/>
        </w:rPr>
      </w:r>
      <w:bookmarkEnd w:id="0"/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134" w:right="851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TimesNewRomanPSMT">
    <w:panose1 w:val="02020603050405020304"/>
  </w:font>
  <w:font w:name="Courier New">
    <w:panose1 w:val="02070309020205020404"/>
  </w:font>
  <w:font w:name="Calibri">
    <w:panose1 w:val="020F0502020204030204"/>
  </w:font>
  <w:font w:name="Arial Black">
    <w:panose1 w:val="020B0A04020102020204"/>
  </w:font>
  <w:font w:name="Sylfaen">
    <w:panose1 w:val="02040502050405020303"/>
  </w:font>
  <w:font w:name="Corbel">
    <w:panose1 w:val="020B0503020203020204"/>
  </w:font>
  <w:font w:name="Book Antiqua">
    <w:panose1 w:val="02040502050405020303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>
      <w:start w:val="6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2">
      <w:start w:val="6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3">
      <w:start w:val="6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4">
      <w:start w:val="6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5">
      <w:start w:val="6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6">
      <w:start w:val="6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7">
      <w:start w:val="6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8">
      <w:start w:val="6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</w:abstractNum>
  <w:abstractNum w:abstractNumId="1">
    <w:multiLevelType w:val="hybridMultilevel"/>
    <w:lvl w:ilvl="0">
      <w:start w:val="16"/>
      <w:numFmt w:val="decimal"/>
      <w:isLgl w:val="false"/>
      <w:suff w:val="tab"/>
      <w:lvlText w:val="%1.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>
      <w:start w:val="16"/>
      <w:numFmt w:val="decimal"/>
      <w:isLgl w:val="false"/>
      <w:suff w:val="tab"/>
      <w:lvlText w:val="%1.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2">
      <w:start w:val="16"/>
      <w:numFmt w:val="decimal"/>
      <w:isLgl w:val="false"/>
      <w:suff w:val="tab"/>
      <w:lvlText w:val="%1.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3">
      <w:start w:val="16"/>
      <w:numFmt w:val="decimal"/>
      <w:isLgl w:val="false"/>
      <w:suff w:val="tab"/>
      <w:lvlText w:val="%1.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4">
      <w:start w:val="16"/>
      <w:numFmt w:val="decimal"/>
      <w:isLgl w:val="false"/>
      <w:suff w:val="tab"/>
      <w:lvlText w:val="%1.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5">
      <w:start w:val="16"/>
      <w:numFmt w:val="decimal"/>
      <w:isLgl w:val="false"/>
      <w:suff w:val="tab"/>
      <w:lvlText w:val="%1.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6">
      <w:start w:val="16"/>
      <w:numFmt w:val="decimal"/>
      <w:isLgl w:val="false"/>
      <w:suff w:val="tab"/>
      <w:lvlText w:val="%1.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7">
      <w:start w:val="16"/>
      <w:numFmt w:val="decimal"/>
      <w:isLgl w:val="false"/>
      <w:suff w:val="tab"/>
      <w:lvlText w:val="%1.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8">
      <w:start w:val="16"/>
      <w:numFmt w:val="decimal"/>
      <w:isLgl w:val="false"/>
      <w:suff w:val="tab"/>
      <w:lvlText w:val="%1.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>
      <w:start w:val="1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2">
      <w:start w:val="1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3">
      <w:start w:val="1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4">
      <w:start w:val="1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5">
      <w:start w:val="1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6">
      <w:start w:val="1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7">
      <w:start w:val="1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8">
      <w:start w:val="1"/>
      <w:numFmt w:val="decimal"/>
      <w:isLgl w:val="false"/>
      <w:suff w:val="tab"/>
      <w:lvlText w:val="%1)"/>
      <w:lvlJc w:val="left"/>
      <w:pPr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 w:cs="Times New Roman"/>
      </w:rPr>
    </w:lvl>
    <w:lvl w:ilvl="1">
      <w:start w:val="6"/>
      <w:numFmt w:val="decimal"/>
      <w:isLgl w:val="false"/>
      <w:suff w:val="tab"/>
      <w:lvlText w:val="%1.%2"/>
      <w:lvlJc w:val="left"/>
      <w:pPr>
        <w:ind w:left="8015" w:hanging="36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464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6600" w:hanging="72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892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80" w:hanging="108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8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5160" w:hanging="144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7120" w:hanging="1440"/>
      </w:pPr>
      <w:rPr>
        <w:rFonts w:hint="default"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8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5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12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19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27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134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41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48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558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  <w:tabs>
          <w:tab w:val="num" w:pos="1068" w:leader="none"/>
        </w:tabs>
      </w:pPr>
      <w:rPr>
        <w:rFonts w:hint="default"/>
      </w:rPr>
    </w:lvl>
    <w:lvl w:ilvl="1">
      <w:start w:val="4"/>
      <w:numFmt w:val="decimal"/>
      <w:isLgl/>
      <w:suff w:val="tab"/>
      <w:lvlText w:val="%1.%2."/>
      <w:lvlJc w:val="left"/>
      <w:pPr>
        <w:ind w:left="2339" w:hanging="15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270" w:hanging="156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481" w:hanging="156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52" w:hanging="156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623" w:hanging="156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694" w:hanging="156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765" w:hanging="156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420" w:hanging="420"/>
        <w:tabs>
          <w:tab w:val="num" w:pos="420" w:leader="none"/>
        </w:tabs>
      </w:pPr>
      <w:rPr>
        <w:rFonts w:hint="default" w:cs="Times New Roman"/>
      </w:rPr>
    </w:lvl>
    <w:lvl w:ilvl="1">
      <w:start w:val="26"/>
      <w:numFmt w:val="decimal"/>
      <w:isLgl w:val="false"/>
      <w:suff w:val="tab"/>
      <w:lvlText w:val="%1.%2"/>
      <w:lvlJc w:val="left"/>
      <w:pPr>
        <w:ind w:left="480" w:hanging="420"/>
        <w:tabs>
          <w:tab w:val="num" w:pos="48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840" w:hanging="720"/>
        <w:tabs>
          <w:tab w:val="num" w:pos="84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900" w:hanging="720"/>
        <w:tabs>
          <w:tab w:val="num" w:pos="90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20" w:hanging="1080"/>
        <w:tabs>
          <w:tab w:val="num" w:pos="132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380" w:hanging="1080"/>
        <w:tabs>
          <w:tab w:val="num" w:pos="13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  <w:tabs>
          <w:tab w:val="num" w:pos="180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60" w:hanging="1440"/>
        <w:tabs>
          <w:tab w:val="num" w:pos="186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280" w:hanging="1800"/>
        <w:tabs>
          <w:tab w:val="num" w:pos="2280" w:leader="none"/>
        </w:tabs>
      </w:pPr>
      <w:rPr>
        <w:rFonts w:hint="default" w:cs="Times New Roman"/>
      </w:r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 w:cs="Times New Roman"/>
      </w:rPr>
    </w:lvl>
    <w:lvl w:ilvl="1">
      <w:start w:val="4"/>
      <w:numFmt w:val="decimal"/>
      <w:isLgl w:val="false"/>
      <w:suff w:val="tab"/>
      <w:lvlText w:val="%1.%2"/>
      <w:lvlJc w:val="left"/>
      <w:pPr>
        <w:ind w:left="845" w:hanging="420"/>
      </w:pPr>
      <w:rPr>
        <w:rFonts w:hint="default" w:cs="Times New Roman"/>
      </w:rPr>
    </w:lvl>
    <w:lvl w:ilvl="2">
      <w:start w:val="3"/>
      <w:numFmt w:val="decimal"/>
      <w:isLgl w:val="false"/>
      <w:suff w:val="tab"/>
      <w:lvlText w:val="%1.%2.%3"/>
      <w:lvlJc w:val="left"/>
      <w:pPr>
        <w:ind w:left="157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995" w:hanging="72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78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05" w:hanging="108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3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415" w:hanging="144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840" w:hanging="1440"/>
      </w:pPr>
      <w:rPr>
        <w:rFonts w:hint="default" w:cs="Times New Roman"/>
      </w:r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multiLevelType w:val="hybridMultilevel"/>
    <w:lvl w:ilvl="0">
      <w:start w:val="8"/>
      <w:numFmt w:val="decimal"/>
      <w:isLgl w:val="false"/>
      <w:suff w:val="tab"/>
      <w:lvlText w:val="1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20" w:hanging="180"/>
      </w:pPr>
    </w:lvl>
  </w:abstractNum>
  <w:abstractNum w:abstractNumId="14">
    <w:multiLevelType w:val="hybridMultilevel"/>
    <w:lvl w:ilvl="0">
      <w:start w:val="2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5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 w:cs="Times New Roman"/>
      </w:rPr>
    </w:lvl>
    <w:lvl w:ilvl="1">
      <w:start w:val="4"/>
      <w:numFmt w:val="decimal"/>
      <w:isLgl w:val="false"/>
      <w:suff w:val="tab"/>
      <w:lvlText w:val="%1.%2"/>
      <w:lvlJc w:val="left"/>
      <w:pPr>
        <w:ind w:left="1211" w:hanging="36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2422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73" w:hanging="72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4484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5335" w:hanging="108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6186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7397" w:hanging="144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8248" w:hanging="1440"/>
      </w:pPr>
      <w:rPr>
        <w:rFonts w:hint="default"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6.1.%1."/>
      <w:lvlJc w:val="left"/>
      <w:pPr/>
      <w:rPr>
        <w:rFonts w:ascii="Times New Roman" w:hAnsi="Times New Roman" w:eastAsia="Times New Roman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8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isLgl w:val="false"/>
      <w:suff w:val="tab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80" w:hanging="480"/>
        <w:tabs>
          <w:tab w:val="num" w:pos="480" w:leader="none"/>
        </w:tabs>
      </w:pPr>
      <w:rPr>
        <w:rFonts w:hint="default" w:cs="Times New Roman"/>
      </w:rPr>
    </w:lvl>
    <w:lvl w:ilvl="1">
      <w:start w:val="48"/>
      <w:numFmt w:val="decimal"/>
      <w:isLgl w:val="false"/>
      <w:suff w:val="tab"/>
      <w:lvlText w:val="%1.%2."/>
      <w:lvlJc w:val="left"/>
      <w:pPr>
        <w:ind w:left="980" w:hanging="480"/>
        <w:tabs>
          <w:tab w:val="num" w:pos="98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20" w:hanging="720"/>
        <w:tabs>
          <w:tab w:val="num" w:pos="1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20" w:hanging="720"/>
        <w:tabs>
          <w:tab w:val="num" w:pos="22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080" w:hanging="1080"/>
        <w:tabs>
          <w:tab w:val="num" w:pos="3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580" w:hanging="1080"/>
        <w:tabs>
          <w:tab w:val="num" w:pos="35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440" w:hanging="1440"/>
        <w:tabs>
          <w:tab w:val="num" w:pos="444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940" w:hanging="1440"/>
        <w:tabs>
          <w:tab w:val="num" w:pos="49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800" w:hanging="1800"/>
        <w:tabs>
          <w:tab w:val="num" w:pos="5800" w:leader="none"/>
        </w:tabs>
      </w:pPr>
      <w:rPr>
        <w:rFonts w:hint="default"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71" w:hanging="804"/>
        <w:tabs>
          <w:tab w:val="num" w:pos="1371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16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56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28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00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272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344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16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488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5600" w:hanging="180"/>
      </w:pPr>
      <w:rPr>
        <w:rFonts w:cs="Times New Roman"/>
      </w:rPr>
    </w:lvl>
  </w:abstractNum>
  <w:abstractNum w:abstractNumId="2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80" w:hanging="480"/>
        <w:tabs>
          <w:tab w:val="num" w:pos="480" w:leader="none"/>
        </w:tabs>
      </w:pPr>
      <w:rPr>
        <w:rFonts w:hint="default" w:cs="Times New Roman"/>
      </w:rPr>
    </w:lvl>
    <w:lvl w:ilvl="1">
      <w:start w:val="25"/>
      <w:numFmt w:val="decimal"/>
      <w:isLgl w:val="false"/>
      <w:suff w:val="tab"/>
      <w:lvlText w:val="%1.%2."/>
      <w:lvlJc w:val="left"/>
      <w:pPr>
        <w:ind w:left="480" w:hanging="480"/>
        <w:tabs>
          <w:tab w:val="num" w:pos="48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24">
    <w:multiLevelType w:val="hybridMultilevel"/>
    <w:lvl w:ilvl="0">
      <w:start w:val="8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eastAsiaTheme="minorEastAsia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5"/>
      <w:numFmt w:val="decimal"/>
      <w:isLgl/>
      <w:suff w:val="tab"/>
      <w:lvlText w:val="%1.%2"/>
      <w:lvlJc w:val="left"/>
      <w:pPr>
        <w:ind w:left="360" w:hanging="360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160" w:hanging="1800"/>
      </w:pPr>
      <w:rPr>
        <w:rFonts w:hint="default" w:cs="Times New Roman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3.4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1">
      <w:start w:val="4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3.2.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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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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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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</w:rPr>
    </w:lvl>
  </w:abstractNum>
  <w:abstractNum w:abstractNumId="31">
    <w:multiLevelType w:val="hybridMultilevel"/>
    <w:lvl w:ilvl="0">
      <w:start w:val="15"/>
      <w:numFmt w:val="decimal"/>
      <w:isLgl w:val="false"/>
      <w:suff w:val="tab"/>
      <w:lvlText w:val="%1."/>
      <w:lvlJc w:val="left"/>
      <w:pPr>
        <w:ind w:left="780" w:hanging="780"/>
      </w:pPr>
      <w:rPr>
        <w:rFonts w:hint="default"/>
      </w:rPr>
    </w:lvl>
    <w:lvl w:ilvl="1">
      <w:start w:val="11"/>
      <w:numFmt w:val="decimal"/>
      <w:isLgl w:val="false"/>
      <w:suff w:val="tab"/>
      <w:lvlText w:val="%1.%2."/>
      <w:lvlJc w:val="left"/>
      <w:pPr>
        <w:ind w:left="780" w:hanging="780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4">
    <w:multiLevelType w:val="hybridMultilevel"/>
    <w:lvl w:ilvl="0">
      <w:start w:val="15"/>
      <w:numFmt w:val="decimal"/>
      <w:isLgl w:val="false"/>
      <w:suff w:val="tab"/>
      <w:lvlText w:val="%1."/>
      <w:lvlJc w:val="left"/>
      <w:pPr>
        <w:ind w:left="780" w:hanging="780"/>
      </w:pPr>
      <w:rPr>
        <w:rFonts w:hint="default"/>
      </w:rPr>
    </w:lvl>
    <w:lvl w:ilvl="1">
      <w:start w:val="11"/>
      <w:numFmt w:val="decimal"/>
      <w:isLgl w:val="false"/>
      <w:suff w:val="tab"/>
      <w:lvlText w:val="%1.%2."/>
      <w:lvlJc w:val="left"/>
      <w:pPr>
        <w:ind w:left="780" w:hanging="780"/>
      </w:pPr>
      <w:rPr>
        <w:rFonts w:hint="default"/>
      </w:rPr>
    </w:lvl>
    <w:lvl w:ilvl="2">
      <w:start w:val="5"/>
      <w:numFmt w:val="decimal"/>
      <w:isLgl w:val="false"/>
      <w:suff w:val="tab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13"/>
  </w:num>
  <w:num w:numId="2">
    <w:abstractNumId w:val="23"/>
  </w:num>
  <w:num w:numId="3">
    <w:abstractNumId w:val="9"/>
  </w:num>
  <w:num w:numId="4">
    <w:abstractNumId w:val="19"/>
  </w:num>
  <w:num w:numId="5">
    <w:abstractNumId w:val="22"/>
  </w:num>
  <w:num w:numId="6">
    <w:abstractNumId w:val="17"/>
  </w:num>
  <w:num w:numId="7">
    <w:abstractNumId w:val="15"/>
  </w:num>
  <w:num w:numId="8">
    <w:abstractNumId w:val="24"/>
  </w:num>
  <w:num w:numId="9">
    <w:abstractNumId w:val="25"/>
  </w:num>
  <w:num w:numId="10">
    <w:abstractNumId w:val="27"/>
  </w:num>
  <w:num w:numId="11">
    <w:abstractNumId w:val="11"/>
  </w:num>
  <w:num w:numId="12">
    <w:abstractNumId w:val="0"/>
  </w:num>
  <w:num w:numId="13">
    <w:abstractNumId w:val="1"/>
  </w:num>
  <w:num w:numId="14">
    <w:abstractNumId w:val="2"/>
  </w:num>
  <w:num w:numId="15">
    <w:abstractNumId w:val="7"/>
  </w:num>
  <w:num w:numId="16">
    <w:abstractNumId w:val="29"/>
  </w:num>
  <w:num w:numId="17">
    <w:abstractNumId w:val="28"/>
  </w:num>
  <w:num w:numId="18">
    <w:abstractNumId w:val="14"/>
  </w:num>
  <w:num w:numId="19">
    <w:abstractNumId w:val="16"/>
  </w:num>
  <w:num w:numId="20">
    <w:abstractNumId w:val="10"/>
  </w:num>
  <w:num w:numId="21">
    <w:abstractNumId w:val="3"/>
  </w:num>
  <w:num w:numId="22">
    <w:abstractNumId w:val="18"/>
  </w:num>
  <w:num w:numId="23">
    <w:abstractNumId w:val="30"/>
  </w:num>
  <w:num w:numId="24">
    <w:abstractNumId w:val="12"/>
  </w:num>
  <w:num w:numId="25">
    <w:abstractNumId w:val="21"/>
  </w:num>
  <w:num w:numId="26">
    <w:abstractNumId w:val="32"/>
  </w:num>
  <w:num w:numId="27">
    <w:abstractNumId w:val="20"/>
  </w:num>
  <w:num w:numId="28">
    <w:abstractNumId w:val="5"/>
  </w:num>
  <w:num w:numId="29">
    <w:abstractNumId w:val="6"/>
  </w:num>
  <w:num w:numId="30">
    <w:abstractNumId w:val="35"/>
  </w:num>
  <w:num w:numId="31">
    <w:abstractNumId w:val="31"/>
  </w:num>
  <w:num w:numId="32">
    <w:abstractNumId w:val="34"/>
  </w:num>
  <w:num w:numId="33">
    <w:abstractNumId w:val="4"/>
  </w:num>
  <w:num w:numId="34">
    <w:abstractNumId w:val="33"/>
  </w:num>
  <w:num w:numId="35">
    <w:abstractNumId w:val="8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9">
    <w:name w:val="Heading 1 Char"/>
    <w:basedOn w:val="903"/>
    <w:link w:val="899"/>
    <w:uiPriority w:val="9"/>
    <w:rPr>
      <w:rFonts w:ascii="Arial" w:hAnsi="Arial" w:eastAsia="Arial" w:cs="Arial"/>
      <w:sz w:val="40"/>
      <w:szCs w:val="40"/>
    </w:rPr>
  </w:style>
  <w:style w:type="character" w:styleId="730">
    <w:name w:val="Heading 2 Char"/>
    <w:basedOn w:val="903"/>
    <w:link w:val="900"/>
    <w:uiPriority w:val="9"/>
    <w:rPr>
      <w:rFonts w:ascii="Arial" w:hAnsi="Arial" w:eastAsia="Arial" w:cs="Arial"/>
      <w:sz w:val="34"/>
    </w:rPr>
  </w:style>
  <w:style w:type="character" w:styleId="731">
    <w:name w:val="Heading 3 Char"/>
    <w:basedOn w:val="903"/>
    <w:link w:val="901"/>
    <w:uiPriority w:val="9"/>
    <w:rPr>
      <w:rFonts w:ascii="Arial" w:hAnsi="Arial" w:eastAsia="Arial" w:cs="Arial"/>
      <w:sz w:val="30"/>
      <w:szCs w:val="30"/>
    </w:rPr>
  </w:style>
  <w:style w:type="character" w:styleId="732">
    <w:name w:val="Heading 4 Char"/>
    <w:basedOn w:val="903"/>
    <w:link w:val="902"/>
    <w:uiPriority w:val="9"/>
    <w:rPr>
      <w:rFonts w:ascii="Arial" w:hAnsi="Arial" w:eastAsia="Arial" w:cs="Arial"/>
      <w:b/>
      <w:bCs/>
      <w:sz w:val="26"/>
      <w:szCs w:val="26"/>
    </w:rPr>
  </w:style>
  <w:style w:type="paragraph" w:styleId="733">
    <w:name w:val="Heading 5"/>
    <w:basedOn w:val="898"/>
    <w:next w:val="898"/>
    <w:link w:val="73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4">
    <w:name w:val="Heading 5 Char"/>
    <w:basedOn w:val="903"/>
    <w:link w:val="733"/>
    <w:uiPriority w:val="9"/>
    <w:rPr>
      <w:rFonts w:ascii="Arial" w:hAnsi="Arial" w:eastAsia="Arial" w:cs="Arial"/>
      <w:b/>
      <w:bCs/>
      <w:sz w:val="24"/>
      <w:szCs w:val="24"/>
    </w:rPr>
  </w:style>
  <w:style w:type="paragraph" w:styleId="735">
    <w:name w:val="Heading 6"/>
    <w:basedOn w:val="898"/>
    <w:next w:val="898"/>
    <w:link w:val="73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6">
    <w:name w:val="Heading 6 Char"/>
    <w:basedOn w:val="903"/>
    <w:link w:val="735"/>
    <w:uiPriority w:val="9"/>
    <w:rPr>
      <w:rFonts w:ascii="Arial" w:hAnsi="Arial" w:eastAsia="Arial" w:cs="Arial"/>
      <w:b/>
      <w:bCs/>
      <w:sz w:val="22"/>
      <w:szCs w:val="22"/>
    </w:rPr>
  </w:style>
  <w:style w:type="paragraph" w:styleId="737">
    <w:name w:val="Heading 7"/>
    <w:basedOn w:val="898"/>
    <w:next w:val="898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>
    <w:name w:val="Heading 7 Char"/>
    <w:basedOn w:val="903"/>
    <w:link w:val="7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9">
    <w:name w:val="Heading 8"/>
    <w:basedOn w:val="898"/>
    <w:next w:val="898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0">
    <w:name w:val="Heading 8 Char"/>
    <w:basedOn w:val="903"/>
    <w:link w:val="739"/>
    <w:uiPriority w:val="9"/>
    <w:rPr>
      <w:rFonts w:ascii="Arial" w:hAnsi="Arial" w:eastAsia="Arial" w:cs="Arial"/>
      <w:i/>
      <w:iCs/>
      <w:sz w:val="22"/>
      <w:szCs w:val="22"/>
    </w:rPr>
  </w:style>
  <w:style w:type="paragraph" w:styleId="741">
    <w:name w:val="Heading 9"/>
    <w:basedOn w:val="898"/>
    <w:next w:val="898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2">
    <w:name w:val="Heading 9 Char"/>
    <w:basedOn w:val="903"/>
    <w:link w:val="741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No Spacing"/>
    <w:uiPriority w:val="1"/>
    <w:qFormat/>
    <w:pPr>
      <w:spacing w:before="0" w:after="0" w:line="240" w:lineRule="auto"/>
    </w:pPr>
  </w:style>
  <w:style w:type="paragraph" w:styleId="744">
    <w:name w:val="Title"/>
    <w:basedOn w:val="898"/>
    <w:next w:val="898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>
    <w:name w:val="Title Char"/>
    <w:basedOn w:val="903"/>
    <w:link w:val="744"/>
    <w:uiPriority w:val="10"/>
    <w:rPr>
      <w:sz w:val="48"/>
      <w:szCs w:val="48"/>
    </w:rPr>
  </w:style>
  <w:style w:type="paragraph" w:styleId="746">
    <w:name w:val="Subtitle"/>
    <w:basedOn w:val="898"/>
    <w:next w:val="898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>
    <w:name w:val="Subtitle Char"/>
    <w:basedOn w:val="903"/>
    <w:link w:val="746"/>
    <w:uiPriority w:val="11"/>
    <w:rPr>
      <w:sz w:val="24"/>
      <w:szCs w:val="24"/>
    </w:rPr>
  </w:style>
  <w:style w:type="paragraph" w:styleId="748">
    <w:name w:val="Quote"/>
    <w:basedOn w:val="898"/>
    <w:next w:val="898"/>
    <w:link w:val="749"/>
    <w:uiPriority w:val="29"/>
    <w:qFormat/>
    <w:pPr>
      <w:ind w:left="720" w:right="720"/>
    </w:pPr>
    <w:rPr>
      <w:i/>
    </w:rPr>
  </w:style>
  <w:style w:type="character" w:styleId="749">
    <w:name w:val="Quote Char"/>
    <w:link w:val="748"/>
    <w:uiPriority w:val="29"/>
    <w:rPr>
      <w:i/>
    </w:rPr>
  </w:style>
  <w:style w:type="paragraph" w:styleId="750">
    <w:name w:val="Intense Quote"/>
    <w:basedOn w:val="898"/>
    <w:next w:val="898"/>
    <w:link w:val="75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>
    <w:name w:val="Intense Quote Char"/>
    <w:link w:val="750"/>
    <w:uiPriority w:val="30"/>
    <w:rPr>
      <w:i/>
    </w:rPr>
  </w:style>
  <w:style w:type="character" w:styleId="752">
    <w:name w:val="Header Char"/>
    <w:basedOn w:val="903"/>
    <w:link w:val="967"/>
    <w:uiPriority w:val="99"/>
  </w:style>
  <w:style w:type="character" w:styleId="753">
    <w:name w:val="Footer Char"/>
    <w:basedOn w:val="903"/>
    <w:link w:val="968"/>
    <w:uiPriority w:val="99"/>
  </w:style>
  <w:style w:type="paragraph" w:styleId="754">
    <w:name w:val="Caption"/>
    <w:basedOn w:val="898"/>
    <w:next w:val="898"/>
    <w:link w:val="7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5">
    <w:name w:val="Caption Char"/>
    <w:basedOn w:val="754"/>
    <w:link w:val="968"/>
    <w:uiPriority w:val="99"/>
  </w:style>
  <w:style w:type="table" w:styleId="756">
    <w:name w:val="Table Grid Light"/>
    <w:basedOn w:val="9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Plain Table 1"/>
    <w:basedOn w:val="9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>
    <w:name w:val="Plain Table 2"/>
    <w:basedOn w:val="90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0">
    <w:name w:val="Plain Table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Plain Table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2">
    <w:name w:val="Grid Table 1 Light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4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4">
    <w:name w:val="Grid Table 4 - Accent 1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5">
    <w:name w:val="Grid Table 4 - Accent 2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Grid Table 4 - Accent 3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7">
    <w:name w:val="Grid Table 4 - Accent 4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Grid Table 4 - Accent 5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9">
    <w:name w:val="Grid Table 4 - Accent 6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0">
    <w:name w:val="Grid Table 5 Dark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4">
    <w:name w:val="Grid Table 5 Dark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7">
    <w:name w:val="Grid Table 6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8">
    <w:name w:val="Grid Table 6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9">
    <w:name w:val="Grid Table 6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0">
    <w:name w:val="Grid Table 6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1">
    <w:name w:val="Grid Table 6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2">
    <w:name w:val="Grid Table 6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3">
    <w:name w:val="Grid Table 6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4">
    <w:name w:val="Grid Table 7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9">
    <w:name w:val="List Table 2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0">
    <w:name w:val="List Table 2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1">
    <w:name w:val="List Table 2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2">
    <w:name w:val="List Table 2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3">
    <w:name w:val="List Table 2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4">
    <w:name w:val="List Table 2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5">
    <w:name w:val="List Table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5 Dark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6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7">
    <w:name w:val="List Table 6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8">
    <w:name w:val="List Table 6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9">
    <w:name w:val="List Table 6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0">
    <w:name w:val="List Table 6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1">
    <w:name w:val="List Table 6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2">
    <w:name w:val="List Table 6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3">
    <w:name w:val="List Table 7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4">
    <w:name w:val="List Table 7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5">
    <w:name w:val="List Table 7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6">
    <w:name w:val="List Table 7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7">
    <w:name w:val="List Table 7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8">
    <w:name w:val="List Table 7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9">
    <w:name w:val="List Table 7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0">
    <w:name w:val="Lined - Accent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1">
    <w:name w:val="Lined - Accent 1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2">
    <w:name w:val="Lined - Accent 2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3">
    <w:name w:val="Lined - Accent 3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4">
    <w:name w:val="Lined - Accent 4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5">
    <w:name w:val="Lined - Accent 5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6">
    <w:name w:val="Lined - Accent 6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7">
    <w:name w:val="Bordered &amp; Lined - Accent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8">
    <w:name w:val="Bordered &amp; Lined - Accent 1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9">
    <w:name w:val="Bordered &amp; Lined - Accent 2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0">
    <w:name w:val="Bordered &amp; Lined - Accent 3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1">
    <w:name w:val="Bordered &amp; Lined - Accent 4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2">
    <w:name w:val="Bordered &amp; Lined - Accent 5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3">
    <w:name w:val="Bordered &amp; Lined - Accent 6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4">
    <w:name w:val="Bordered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5">
    <w:name w:val="Bordered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6">
    <w:name w:val="Bordered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7">
    <w:name w:val="Bordered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8">
    <w:name w:val="Bordered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9">
    <w:name w:val="Bordered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0">
    <w:name w:val="Bordered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1">
    <w:name w:val="footnote text"/>
    <w:basedOn w:val="898"/>
    <w:link w:val="882"/>
    <w:uiPriority w:val="99"/>
    <w:semiHidden/>
    <w:unhideWhenUsed/>
    <w:pPr>
      <w:spacing w:after="40" w:line="240" w:lineRule="auto"/>
    </w:pPr>
    <w:rPr>
      <w:sz w:val="18"/>
    </w:rPr>
  </w:style>
  <w:style w:type="character" w:styleId="882">
    <w:name w:val="Footnote Text Char"/>
    <w:link w:val="881"/>
    <w:uiPriority w:val="99"/>
    <w:rPr>
      <w:sz w:val="18"/>
    </w:rPr>
  </w:style>
  <w:style w:type="character" w:styleId="883">
    <w:name w:val="footnote reference"/>
    <w:basedOn w:val="903"/>
    <w:uiPriority w:val="99"/>
    <w:unhideWhenUsed/>
    <w:rPr>
      <w:vertAlign w:val="superscript"/>
    </w:rPr>
  </w:style>
  <w:style w:type="paragraph" w:styleId="884">
    <w:name w:val="endnote text"/>
    <w:basedOn w:val="898"/>
    <w:link w:val="885"/>
    <w:uiPriority w:val="99"/>
    <w:semiHidden/>
    <w:unhideWhenUsed/>
    <w:pPr>
      <w:spacing w:after="0" w:line="240" w:lineRule="auto"/>
    </w:pPr>
    <w:rPr>
      <w:sz w:val="20"/>
    </w:rPr>
  </w:style>
  <w:style w:type="character" w:styleId="885">
    <w:name w:val="Endnote Text Char"/>
    <w:link w:val="884"/>
    <w:uiPriority w:val="99"/>
    <w:rPr>
      <w:sz w:val="20"/>
    </w:rPr>
  </w:style>
  <w:style w:type="character" w:styleId="886">
    <w:name w:val="endnote reference"/>
    <w:basedOn w:val="903"/>
    <w:uiPriority w:val="99"/>
    <w:semiHidden/>
    <w:unhideWhenUsed/>
    <w:rPr>
      <w:vertAlign w:val="superscript"/>
    </w:rPr>
  </w:style>
  <w:style w:type="paragraph" w:styleId="887">
    <w:name w:val="toc 1"/>
    <w:basedOn w:val="898"/>
    <w:next w:val="898"/>
    <w:uiPriority w:val="39"/>
    <w:unhideWhenUsed/>
    <w:pPr>
      <w:ind w:left="0" w:right="0" w:firstLine="0"/>
      <w:spacing w:after="57"/>
    </w:pPr>
  </w:style>
  <w:style w:type="paragraph" w:styleId="888">
    <w:name w:val="toc 2"/>
    <w:basedOn w:val="898"/>
    <w:next w:val="898"/>
    <w:uiPriority w:val="39"/>
    <w:unhideWhenUsed/>
    <w:pPr>
      <w:ind w:left="283" w:right="0" w:firstLine="0"/>
      <w:spacing w:after="57"/>
    </w:pPr>
  </w:style>
  <w:style w:type="paragraph" w:styleId="889">
    <w:name w:val="toc 3"/>
    <w:basedOn w:val="898"/>
    <w:next w:val="898"/>
    <w:uiPriority w:val="39"/>
    <w:unhideWhenUsed/>
    <w:pPr>
      <w:ind w:left="567" w:right="0" w:firstLine="0"/>
      <w:spacing w:after="57"/>
    </w:pPr>
  </w:style>
  <w:style w:type="paragraph" w:styleId="890">
    <w:name w:val="toc 4"/>
    <w:basedOn w:val="898"/>
    <w:next w:val="898"/>
    <w:uiPriority w:val="39"/>
    <w:unhideWhenUsed/>
    <w:pPr>
      <w:ind w:left="850" w:right="0" w:firstLine="0"/>
      <w:spacing w:after="57"/>
    </w:pPr>
  </w:style>
  <w:style w:type="paragraph" w:styleId="891">
    <w:name w:val="toc 5"/>
    <w:basedOn w:val="898"/>
    <w:next w:val="898"/>
    <w:uiPriority w:val="39"/>
    <w:unhideWhenUsed/>
    <w:pPr>
      <w:ind w:left="1134" w:right="0" w:firstLine="0"/>
      <w:spacing w:after="57"/>
    </w:pPr>
  </w:style>
  <w:style w:type="paragraph" w:styleId="892">
    <w:name w:val="toc 6"/>
    <w:basedOn w:val="898"/>
    <w:next w:val="898"/>
    <w:uiPriority w:val="39"/>
    <w:unhideWhenUsed/>
    <w:pPr>
      <w:ind w:left="1417" w:right="0" w:firstLine="0"/>
      <w:spacing w:after="57"/>
    </w:pPr>
  </w:style>
  <w:style w:type="paragraph" w:styleId="893">
    <w:name w:val="toc 7"/>
    <w:basedOn w:val="898"/>
    <w:next w:val="898"/>
    <w:uiPriority w:val="39"/>
    <w:unhideWhenUsed/>
    <w:pPr>
      <w:ind w:left="1701" w:right="0" w:firstLine="0"/>
      <w:spacing w:after="57"/>
    </w:pPr>
  </w:style>
  <w:style w:type="paragraph" w:styleId="894">
    <w:name w:val="toc 8"/>
    <w:basedOn w:val="898"/>
    <w:next w:val="898"/>
    <w:uiPriority w:val="39"/>
    <w:unhideWhenUsed/>
    <w:pPr>
      <w:ind w:left="1984" w:right="0" w:firstLine="0"/>
      <w:spacing w:after="57"/>
    </w:pPr>
  </w:style>
  <w:style w:type="paragraph" w:styleId="895">
    <w:name w:val="toc 9"/>
    <w:basedOn w:val="898"/>
    <w:next w:val="898"/>
    <w:uiPriority w:val="39"/>
    <w:unhideWhenUsed/>
    <w:pPr>
      <w:ind w:left="2268" w:right="0" w:firstLine="0"/>
      <w:spacing w:after="57"/>
    </w:pPr>
  </w:style>
  <w:style w:type="paragraph" w:styleId="896">
    <w:name w:val="TOC Heading"/>
    <w:uiPriority w:val="39"/>
    <w:unhideWhenUsed/>
  </w:style>
  <w:style w:type="paragraph" w:styleId="897">
    <w:name w:val="table of figures"/>
    <w:basedOn w:val="898"/>
    <w:next w:val="898"/>
    <w:uiPriority w:val="99"/>
    <w:unhideWhenUsed/>
    <w:pPr>
      <w:spacing w:after="0" w:afterAutospacing="0"/>
    </w:pPr>
  </w:style>
  <w:style w:type="paragraph" w:styleId="898" w:default="1">
    <w:name w:val="Normal"/>
    <w:qFormat/>
    <w:pPr>
      <w:ind w:left="0" w:right="0" w:firstLine="709"/>
      <w:jc w:val="left"/>
      <w:spacing w:before="0" w:beforeAutospacing="0" w:after="0" w:afterAutospacing="0" w:line="240" w:lineRule="auto"/>
      <w:shd w:val="nil"/>
      <w:widowControl/>
      <w:suppressLineNumbers w:val="0"/>
    </w:pPr>
    <w:rPr>
      <w:rFonts w:ascii="Times New Roman" w:hAnsi="Times New Roman" w:cs="Times New Roman" w:eastAsiaTheme="minorEastAsia"/>
      <w:b w:val="0"/>
      <w:bCs w:val="0"/>
      <w:sz w:val="28"/>
      <w:szCs w:val="28"/>
      <w:lang w:eastAsia="ru-RU"/>
    </w:rPr>
  </w:style>
  <w:style w:type="paragraph" w:styleId="899">
    <w:name w:val="Heading 1"/>
    <w:basedOn w:val="898"/>
    <w:next w:val="898"/>
    <w:link w:val="1012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00">
    <w:name w:val="Heading 2"/>
    <w:basedOn w:val="898"/>
    <w:next w:val="898"/>
    <w:link w:val="1011"/>
    <w:uiPriority w:val="9"/>
    <w:semiHidden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01">
    <w:name w:val="Heading 3"/>
    <w:basedOn w:val="898"/>
    <w:link w:val="906"/>
    <w:uiPriority w:val="9"/>
    <w:qFormat/>
    <w:pPr>
      <w:spacing w:before="100" w:beforeAutospacing="1" w:after="100" w:afterAutospacing="1"/>
      <w:widowControl/>
      <w:outlineLvl w:val="2"/>
    </w:pPr>
    <w:rPr>
      <w:rFonts w:eastAsia="Times New Roman"/>
      <w:b/>
      <w:bCs/>
      <w:sz w:val="27"/>
      <w:szCs w:val="27"/>
    </w:rPr>
  </w:style>
  <w:style w:type="paragraph" w:styleId="902">
    <w:name w:val="Heading 4"/>
    <w:basedOn w:val="898"/>
    <w:next w:val="898"/>
    <w:link w:val="907"/>
    <w:uiPriority w:val="9"/>
    <w:semiHidden/>
    <w:unhideWhenUsed/>
    <w:qFormat/>
    <w:pPr>
      <w:keepLines/>
      <w:keepNext/>
      <w:spacing w:before="200" w:line="276" w:lineRule="auto"/>
      <w:widowControl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styleId="903" w:default="1">
    <w:name w:val="Default Paragraph Font"/>
    <w:uiPriority w:val="1"/>
    <w:semiHidden/>
    <w:unhideWhenUsed/>
  </w:style>
  <w:style w:type="table" w:styleId="9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5" w:default="1">
    <w:name w:val="No List"/>
    <w:uiPriority w:val="99"/>
    <w:semiHidden/>
    <w:unhideWhenUsed/>
  </w:style>
  <w:style w:type="character" w:styleId="906" w:customStyle="1">
    <w:name w:val="Заголовок 3 Знак"/>
    <w:basedOn w:val="903"/>
    <w:link w:val="901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907" w:customStyle="1">
    <w:name w:val="Заголовок 4 Знак"/>
    <w:basedOn w:val="903"/>
    <w:link w:val="902"/>
    <w:uiPriority w:val="9"/>
    <w:semiHidden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908" w:customStyle="1">
    <w:name w:val="Font Style28"/>
    <w:basedOn w:val="903"/>
    <w:uiPriority w:val="99"/>
    <w:rPr>
      <w:rFonts w:ascii="Times New Roman" w:hAnsi="Times New Roman" w:cs="Times New Roman"/>
      <w:sz w:val="22"/>
      <w:szCs w:val="22"/>
    </w:rPr>
  </w:style>
  <w:style w:type="paragraph" w:styleId="909" w:customStyle="1">
    <w:name w:val="Нормальный"/>
    <w:pPr>
      <w:spacing w:after="0" w:line="240" w:lineRule="auto"/>
      <w:widowControl w:val="off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910">
    <w:name w:val="Body Text"/>
    <w:basedOn w:val="898"/>
    <w:link w:val="911"/>
    <w:unhideWhenUsed/>
    <w:pPr>
      <w:spacing w:after="120"/>
    </w:pPr>
    <w:rPr>
      <w:rFonts w:eastAsia="Times New Roman"/>
      <w:sz w:val="20"/>
      <w:szCs w:val="20"/>
    </w:rPr>
  </w:style>
  <w:style w:type="character" w:styleId="911" w:customStyle="1">
    <w:name w:val="Основной текст Знак"/>
    <w:basedOn w:val="903"/>
    <w:link w:val="91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12" w:customStyle="1">
    <w:name w:val="Основной текст (2)_"/>
    <w:basedOn w:val="903"/>
    <w:link w:val="913"/>
    <w:rPr>
      <w:rFonts w:ascii="Arial" w:hAnsi="Arial"/>
      <w:b/>
      <w:bCs/>
      <w:spacing w:val="1"/>
      <w:sz w:val="17"/>
      <w:szCs w:val="17"/>
      <w:shd w:val="clear" w:color="auto" w:fill="ffffff"/>
    </w:rPr>
  </w:style>
  <w:style w:type="paragraph" w:styleId="913" w:customStyle="1">
    <w:name w:val="Основной текст (2)1"/>
    <w:basedOn w:val="898"/>
    <w:link w:val="912"/>
    <w:pPr>
      <w:ind w:hanging="1340"/>
      <w:jc w:val="both"/>
      <w:spacing w:before="120" w:line="248" w:lineRule="exact"/>
      <w:shd w:val="clear" w:color="auto" w:fill="ffffff"/>
      <w:widowControl/>
    </w:pPr>
    <w:rPr>
      <w:rFonts w:ascii="Arial" w:hAnsi="Arial" w:eastAsiaTheme="minorHAnsi" w:cstheme="minorBidi"/>
      <w:b/>
      <w:bCs/>
      <w:spacing w:val="1"/>
      <w:sz w:val="17"/>
      <w:szCs w:val="17"/>
      <w:lang w:eastAsia="en-US"/>
    </w:rPr>
  </w:style>
  <w:style w:type="character" w:styleId="914" w:customStyle="1">
    <w:name w:val="Основной текст (3)_"/>
    <w:basedOn w:val="903"/>
    <w:link w:val="915"/>
    <w:uiPriority w:val="99"/>
    <w:rPr>
      <w:rFonts w:hAnsi="Times New Roman" w:cs="Times New Roman"/>
      <w:sz w:val="21"/>
      <w:szCs w:val="21"/>
      <w:shd w:val="clear" w:color="auto" w:fill="ffffff"/>
    </w:rPr>
  </w:style>
  <w:style w:type="paragraph" w:styleId="915" w:customStyle="1">
    <w:name w:val="Основной текст (3)1"/>
    <w:basedOn w:val="898"/>
    <w:link w:val="914"/>
    <w:uiPriority w:val="99"/>
    <w:pPr>
      <w:ind w:hanging="1240"/>
      <w:spacing w:line="240" w:lineRule="atLeast"/>
      <w:shd w:val="clear" w:color="auto" w:fill="ffffff"/>
    </w:pPr>
    <w:rPr>
      <w:rFonts w:asciiTheme="minorHAnsi" w:eastAsiaTheme="minorHAnsi"/>
      <w:sz w:val="21"/>
      <w:szCs w:val="21"/>
      <w:lang w:eastAsia="en-US"/>
    </w:rPr>
  </w:style>
  <w:style w:type="paragraph" w:styleId="916" w:customStyle="1">
    <w:name w:val="Char Знак"/>
    <w:basedOn w:val="898"/>
    <w:pPr>
      <w:spacing w:before="100" w:beforeAutospacing="1" w:after="100" w:afterAutospacing="1"/>
      <w:widowControl/>
    </w:pPr>
    <w:rPr>
      <w:rFonts w:ascii="Tahoma" w:hAnsi="Tahoma" w:eastAsia="Times New Roman"/>
      <w:sz w:val="20"/>
      <w:szCs w:val="20"/>
      <w:lang w:val="en-US" w:eastAsia="en-US"/>
    </w:rPr>
  </w:style>
  <w:style w:type="paragraph" w:styleId="917">
    <w:name w:val="Balloon Text"/>
    <w:basedOn w:val="898"/>
    <w:link w:val="918"/>
    <w:uiPriority w:val="99"/>
    <w:semiHidden/>
    <w:unhideWhenUsed/>
    <w:rPr>
      <w:rFonts w:ascii="Tahoma" w:hAnsi="Tahoma" w:cs="Tahoma"/>
      <w:sz w:val="16"/>
      <w:szCs w:val="16"/>
    </w:rPr>
  </w:style>
  <w:style w:type="character" w:styleId="918" w:customStyle="1">
    <w:name w:val="Текст выноски Знак"/>
    <w:basedOn w:val="903"/>
    <w:link w:val="917"/>
    <w:uiPriority w:val="99"/>
    <w:semiHidden/>
    <w:rPr>
      <w:rFonts w:ascii="Tahoma" w:hAnsi="Tahoma" w:cs="Tahoma" w:eastAsiaTheme="minorEastAsia"/>
      <w:sz w:val="16"/>
      <w:szCs w:val="16"/>
      <w:lang w:eastAsia="ru-RU"/>
    </w:rPr>
  </w:style>
  <w:style w:type="paragraph" w:styleId="919" w:customStyle="1">
    <w:name w:val="Style1"/>
    <w:basedOn w:val="898"/>
    <w:uiPriority w:val="99"/>
  </w:style>
  <w:style w:type="paragraph" w:styleId="920" w:customStyle="1">
    <w:name w:val="Style2"/>
    <w:basedOn w:val="898"/>
    <w:uiPriority w:val="99"/>
    <w:pPr>
      <w:jc w:val="center"/>
      <w:spacing w:line="185" w:lineRule="exact"/>
    </w:pPr>
  </w:style>
  <w:style w:type="paragraph" w:styleId="921" w:customStyle="1">
    <w:name w:val="Style3"/>
    <w:basedOn w:val="898"/>
    <w:uiPriority w:val="99"/>
  </w:style>
  <w:style w:type="paragraph" w:styleId="922" w:customStyle="1">
    <w:name w:val="Style4"/>
    <w:basedOn w:val="898"/>
    <w:uiPriority w:val="99"/>
  </w:style>
  <w:style w:type="paragraph" w:styleId="923" w:customStyle="1">
    <w:name w:val="Style5"/>
    <w:basedOn w:val="898"/>
    <w:uiPriority w:val="99"/>
  </w:style>
  <w:style w:type="paragraph" w:styleId="924" w:customStyle="1">
    <w:name w:val="Style6"/>
    <w:basedOn w:val="898"/>
    <w:uiPriority w:val="99"/>
    <w:pPr>
      <w:jc w:val="both"/>
      <w:spacing w:line="341" w:lineRule="exact"/>
    </w:pPr>
  </w:style>
  <w:style w:type="paragraph" w:styleId="925" w:customStyle="1">
    <w:name w:val="Style7"/>
    <w:basedOn w:val="898"/>
    <w:uiPriority w:val="99"/>
    <w:pPr>
      <w:ind w:hanging="682"/>
      <w:spacing w:line="274" w:lineRule="exact"/>
    </w:pPr>
  </w:style>
  <w:style w:type="paragraph" w:styleId="926" w:customStyle="1">
    <w:name w:val="Style8"/>
    <w:basedOn w:val="898"/>
    <w:uiPriority w:val="99"/>
    <w:pPr>
      <w:ind w:firstLine="845"/>
      <w:jc w:val="both"/>
      <w:spacing w:line="413" w:lineRule="exact"/>
    </w:pPr>
  </w:style>
  <w:style w:type="paragraph" w:styleId="927" w:customStyle="1">
    <w:name w:val="Style9"/>
    <w:basedOn w:val="898"/>
    <w:uiPriority w:val="99"/>
    <w:pPr>
      <w:ind w:firstLine="869"/>
      <w:jc w:val="both"/>
      <w:spacing w:line="414" w:lineRule="exact"/>
    </w:pPr>
  </w:style>
  <w:style w:type="paragraph" w:styleId="928" w:customStyle="1">
    <w:name w:val="Style10"/>
    <w:basedOn w:val="898"/>
    <w:uiPriority w:val="99"/>
    <w:pPr>
      <w:ind w:hanging="370"/>
      <w:spacing w:line="413" w:lineRule="exact"/>
    </w:pPr>
  </w:style>
  <w:style w:type="paragraph" w:styleId="929" w:customStyle="1">
    <w:name w:val="Style11"/>
    <w:basedOn w:val="898"/>
    <w:uiPriority w:val="99"/>
    <w:pPr>
      <w:ind w:firstLine="307"/>
      <w:jc w:val="both"/>
      <w:spacing w:line="413" w:lineRule="exact"/>
    </w:pPr>
  </w:style>
  <w:style w:type="paragraph" w:styleId="930" w:customStyle="1">
    <w:name w:val="Style12"/>
    <w:basedOn w:val="898"/>
    <w:uiPriority w:val="99"/>
  </w:style>
  <w:style w:type="paragraph" w:styleId="931" w:customStyle="1">
    <w:name w:val="Style13"/>
    <w:basedOn w:val="898"/>
    <w:uiPriority w:val="99"/>
    <w:pPr>
      <w:jc w:val="both"/>
    </w:pPr>
  </w:style>
  <w:style w:type="paragraph" w:styleId="932" w:customStyle="1">
    <w:name w:val="Style14"/>
    <w:basedOn w:val="898"/>
    <w:uiPriority w:val="99"/>
    <w:pPr>
      <w:ind w:firstLine="422"/>
      <w:jc w:val="both"/>
      <w:spacing w:line="413" w:lineRule="exact"/>
    </w:pPr>
  </w:style>
  <w:style w:type="paragraph" w:styleId="933" w:customStyle="1">
    <w:name w:val="Style15"/>
    <w:basedOn w:val="898"/>
    <w:uiPriority w:val="99"/>
    <w:pPr>
      <w:jc w:val="both"/>
      <w:spacing w:line="413" w:lineRule="exact"/>
    </w:pPr>
  </w:style>
  <w:style w:type="paragraph" w:styleId="934" w:customStyle="1">
    <w:name w:val="Style16"/>
    <w:basedOn w:val="898"/>
    <w:uiPriority w:val="99"/>
    <w:pPr>
      <w:ind w:firstLine="590"/>
      <w:spacing w:line="413" w:lineRule="exact"/>
    </w:pPr>
  </w:style>
  <w:style w:type="paragraph" w:styleId="935" w:customStyle="1">
    <w:name w:val="Style17"/>
    <w:basedOn w:val="898"/>
    <w:uiPriority w:val="99"/>
    <w:pPr>
      <w:ind w:firstLine="859"/>
      <w:spacing w:line="413" w:lineRule="exact"/>
    </w:pPr>
  </w:style>
  <w:style w:type="paragraph" w:styleId="936" w:customStyle="1">
    <w:name w:val="Style18"/>
    <w:basedOn w:val="898"/>
    <w:uiPriority w:val="99"/>
  </w:style>
  <w:style w:type="paragraph" w:styleId="937" w:customStyle="1">
    <w:name w:val="Style19"/>
    <w:basedOn w:val="898"/>
    <w:uiPriority w:val="99"/>
    <w:pPr>
      <w:ind w:firstLine="806"/>
      <w:spacing w:line="264" w:lineRule="exact"/>
    </w:pPr>
  </w:style>
  <w:style w:type="paragraph" w:styleId="938" w:customStyle="1">
    <w:name w:val="Style20"/>
    <w:basedOn w:val="898"/>
    <w:uiPriority w:val="99"/>
    <w:pPr>
      <w:jc w:val="center"/>
    </w:pPr>
  </w:style>
  <w:style w:type="paragraph" w:styleId="939" w:customStyle="1">
    <w:name w:val="Style21"/>
    <w:basedOn w:val="898"/>
    <w:uiPriority w:val="99"/>
  </w:style>
  <w:style w:type="paragraph" w:styleId="940" w:customStyle="1">
    <w:name w:val="Style22"/>
    <w:basedOn w:val="898"/>
    <w:uiPriority w:val="99"/>
  </w:style>
  <w:style w:type="character" w:styleId="941" w:customStyle="1">
    <w:name w:val="Font Style24"/>
    <w:basedOn w:val="903"/>
    <w:uiPriority w:val="99"/>
    <w:rPr>
      <w:rFonts w:ascii="Arial" w:hAnsi="Arial" w:cs="Arial"/>
      <w:b/>
      <w:bCs/>
      <w:sz w:val="22"/>
      <w:szCs w:val="22"/>
    </w:rPr>
  </w:style>
  <w:style w:type="character" w:styleId="942" w:customStyle="1">
    <w:name w:val="Font Style25"/>
    <w:basedOn w:val="903"/>
    <w:uiPriority w:val="99"/>
    <w:rPr>
      <w:rFonts w:ascii="Times New Roman" w:hAnsi="Times New Roman" w:cs="Times New Roman"/>
      <w:sz w:val="14"/>
      <w:szCs w:val="14"/>
    </w:rPr>
  </w:style>
  <w:style w:type="character" w:styleId="943" w:customStyle="1">
    <w:name w:val="Font Style26"/>
    <w:basedOn w:val="903"/>
    <w:uiPriority w:val="99"/>
    <w:rPr>
      <w:rFonts w:ascii="Times New Roman" w:hAnsi="Times New Roman" w:cs="Times New Roman"/>
      <w:b/>
      <w:bCs/>
      <w:sz w:val="26"/>
      <w:szCs w:val="26"/>
    </w:rPr>
  </w:style>
  <w:style w:type="character" w:styleId="944" w:customStyle="1">
    <w:name w:val="Font Style27"/>
    <w:basedOn w:val="903"/>
    <w:uiPriority w:val="99"/>
    <w:rPr>
      <w:rFonts w:ascii="Times New Roman" w:hAnsi="Times New Roman" w:cs="Times New Roman"/>
      <w:b/>
      <w:bCs/>
      <w:i/>
      <w:iCs/>
      <w:sz w:val="20"/>
      <w:szCs w:val="20"/>
    </w:rPr>
  </w:style>
  <w:style w:type="character" w:styleId="945" w:customStyle="1">
    <w:name w:val="Font Style29"/>
    <w:basedOn w:val="903"/>
    <w:uiPriority w:val="99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styleId="946" w:customStyle="1">
    <w:name w:val="Font Style30"/>
    <w:basedOn w:val="903"/>
    <w:uiPriority w:val="99"/>
    <w:rPr>
      <w:rFonts w:ascii="Times New Roman" w:hAnsi="Times New Roman" w:cs="Times New Roman"/>
      <w:i/>
      <w:iCs/>
      <w:sz w:val="34"/>
      <w:szCs w:val="34"/>
    </w:rPr>
  </w:style>
  <w:style w:type="character" w:styleId="947" w:customStyle="1">
    <w:name w:val="Font Style31"/>
    <w:basedOn w:val="903"/>
    <w:uiPriority w:val="99"/>
    <w:rPr>
      <w:rFonts w:ascii="Times New Roman" w:hAnsi="Times New Roman" w:cs="Times New Roman"/>
      <w:i/>
      <w:iCs/>
      <w:sz w:val="50"/>
      <w:szCs w:val="50"/>
    </w:rPr>
  </w:style>
  <w:style w:type="character" w:styleId="948" w:customStyle="1">
    <w:name w:val="Font Style32"/>
    <w:basedOn w:val="903"/>
    <w:uiPriority w:val="99"/>
    <w:rPr>
      <w:rFonts w:ascii="Times New Roman" w:hAnsi="Times New Roman" w:cs="Times New Roman"/>
      <w:b/>
      <w:bCs/>
      <w:i/>
      <w:iCs/>
      <w:spacing w:val="-20"/>
      <w:sz w:val="22"/>
      <w:szCs w:val="22"/>
    </w:rPr>
  </w:style>
  <w:style w:type="character" w:styleId="949" w:customStyle="1">
    <w:name w:val="Font Style33"/>
    <w:basedOn w:val="903"/>
    <w:uiPriority w:val="99"/>
    <w:rPr>
      <w:rFonts w:ascii="Times New Roman" w:hAnsi="Times New Roman" w:cs="Times New Roman"/>
      <w:b/>
      <w:bCs/>
      <w:i/>
      <w:iCs/>
      <w:spacing w:val="-10"/>
      <w:sz w:val="24"/>
      <w:szCs w:val="24"/>
    </w:rPr>
  </w:style>
  <w:style w:type="character" w:styleId="950" w:customStyle="1">
    <w:name w:val="Font Style34"/>
    <w:basedOn w:val="903"/>
    <w:uiPriority w:val="99"/>
    <w:rPr>
      <w:rFonts w:ascii="Times New Roman" w:hAnsi="Times New Roman" w:cs="Times New Roman"/>
      <w:sz w:val="24"/>
      <w:szCs w:val="24"/>
    </w:rPr>
  </w:style>
  <w:style w:type="character" w:styleId="951" w:customStyle="1">
    <w:name w:val="Font Style35"/>
    <w:basedOn w:val="903"/>
    <w:uiPriority w:val="99"/>
    <w:rPr>
      <w:rFonts w:ascii="Sylfaen" w:hAnsi="Sylfaen" w:cs="Sylfaen"/>
      <w:i/>
      <w:iCs/>
      <w:sz w:val="22"/>
      <w:szCs w:val="22"/>
    </w:rPr>
  </w:style>
  <w:style w:type="character" w:styleId="952" w:customStyle="1">
    <w:name w:val="Font Style36"/>
    <w:basedOn w:val="903"/>
    <w:uiPriority w:val="99"/>
    <w:rPr>
      <w:rFonts w:ascii="Times New Roman" w:hAnsi="Times New Roman" w:cs="Times New Roman"/>
      <w:sz w:val="16"/>
      <w:szCs w:val="16"/>
    </w:rPr>
  </w:style>
  <w:style w:type="character" w:styleId="953" w:customStyle="1">
    <w:name w:val="Font Style37"/>
    <w:basedOn w:val="903"/>
    <w:uiPriority w:val="99"/>
    <w:rPr>
      <w:rFonts w:ascii="Arial" w:hAnsi="Arial" w:cs="Arial"/>
      <w:b/>
      <w:bCs/>
      <w:spacing w:val="10"/>
      <w:sz w:val="14"/>
      <w:szCs w:val="14"/>
    </w:rPr>
  </w:style>
  <w:style w:type="character" w:styleId="954" w:customStyle="1">
    <w:name w:val="Font Style38"/>
    <w:basedOn w:val="903"/>
    <w:uiPriority w:val="99"/>
    <w:rPr>
      <w:rFonts w:ascii="Arial Black" w:hAnsi="Arial Black" w:cs="Arial Black"/>
      <w:i/>
      <w:iCs/>
      <w:sz w:val="12"/>
      <w:szCs w:val="12"/>
    </w:rPr>
  </w:style>
  <w:style w:type="character" w:styleId="955" w:customStyle="1">
    <w:name w:val="Font Style39"/>
    <w:basedOn w:val="903"/>
    <w:uiPriority w:val="99"/>
    <w:rPr>
      <w:rFonts w:ascii="Times New Roman" w:hAnsi="Times New Roman" w:cs="Times New Roman"/>
      <w:i/>
      <w:iCs/>
      <w:sz w:val="8"/>
      <w:szCs w:val="8"/>
    </w:rPr>
  </w:style>
  <w:style w:type="character" w:styleId="956" w:customStyle="1">
    <w:name w:val="Font Style40"/>
    <w:basedOn w:val="903"/>
    <w:uiPriority w:val="99"/>
    <w:rPr>
      <w:rFonts w:ascii="Times New Roman" w:hAnsi="Times New Roman" w:cs="Times New Roman"/>
      <w:b/>
      <w:bCs/>
      <w:i/>
      <w:iCs/>
      <w:sz w:val="22"/>
      <w:szCs w:val="22"/>
    </w:rPr>
  </w:style>
  <w:style w:type="character" w:styleId="957" w:customStyle="1">
    <w:name w:val="Font Style41"/>
    <w:basedOn w:val="903"/>
    <w:uiPriority w:val="99"/>
    <w:rPr>
      <w:rFonts w:ascii="Times New Roman" w:hAnsi="Times New Roman" w:cs="Times New Roman"/>
      <w:i/>
      <w:iCs/>
      <w:spacing w:val="-10"/>
      <w:sz w:val="22"/>
      <w:szCs w:val="22"/>
    </w:rPr>
  </w:style>
  <w:style w:type="character" w:styleId="958" w:customStyle="1">
    <w:name w:val="Font Style42"/>
    <w:basedOn w:val="903"/>
    <w:uiPriority w:val="99"/>
    <w:rPr>
      <w:rFonts w:ascii="Times New Roman" w:hAnsi="Times New Roman" w:cs="Times New Roman"/>
      <w:spacing w:val="10"/>
      <w:sz w:val="14"/>
      <w:szCs w:val="14"/>
    </w:rPr>
  </w:style>
  <w:style w:type="character" w:styleId="959" w:customStyle="1">
    <w:name w:val="Font Style12"/>
    <w:basedOn w:val="903"/>
    <w:uiPriority w:val="99"/>
    <w:rPr>
      <w:rFonts w:ascii="Arial" w:hAnsi="Arial" w:cs="Arial"/>
      <w:b/>
      <w:bCs/>
      <w:sz w:val="22"/>
      <w:szCs w:val="22"/>
    </w:rPr>
  </w:style>
  <w:style w:type="character" w:styleId="960" w:customStyle="1">
    <w:name w:val="Font Style13"/>
    <w:basedOn w:val="903"/>
    <w:uiPriority w:val="99"/>
    <w:rPr>
      <w:rFonts w:ascii="Times New Roman" w:hAnsi="Times New Roman" w:cs="Times New Roman"/>
      <w:sz w:val="14"/>
      <w:szCs w:val="14"/>
    </w:rPr>
  </w:style>
  <w:style w:type="character" w:styleId="961" w:customStyle="1">
    <w:name w:val="Font Style14"/>
    <w:basedOn w:val="903"/>
    <w:uiPriority w:val="99"/>
    <w:rPr>
      <w:rFonts w:ascii="Book Antiqua" w:hAnsi="Book Antiqua" w:cs="Book Antiqua"/>
      <w:b/>
      <w:bCs/>
      <w:sz w:val="10"/>
      <w:szCs w:val="10"/>
    </w:rPr>
  </w:style>
  <w:style w:type="character" w:styleId="962" w:customStyle="1">
    <w:name w:val="Font Style15"/>
    <w:basedOn w:val="903"/>
    <w:uiPriority w:val="99"/>
    <w:rPr>
      <w:rFonts w:ascii="Times New Roman" w:hAnsi="Times New Roman" w:cs="Times New Roman"/>
      <w:b/>
      <w:bCs/>
      <w:sz w:val="26"/>
      <w:szCs w:val="26"/>
    </w:rPr>
  </w:style>
  <w:style w:type="character" w:styleId="963" w:customStyle="1">
    <w:name w:val="Font Style16"/>
    <w:basedOn w:val="903"/>
    <w:uiPriority w:val="99"/>
    <w:rPr>
      <w:rFonts w:ascii="Times New Roman" w:hAnsi="Times New Roman" w:cs="Times New Roman"/>
      <w:b/>
      <w:bCs/>
      <w:i/>
      <w:iCs/>
      <w:sz w:val="20"/>
      <w:szCs w:val="20"/>
    </w:rPr>
  </w:style>
  <w:style w:type="character" w:styleId="964" w:customStyle="1">
    <w:name w:val="Font Style17"/>
    <w:basedOn w:val="903"/>
    <w:uiPriority w:val="99"/>
    <w:rPr>
      <w:rFonts w:ascii="Times New Roman" w:hAnsi="Times New Roman" w:cs="Times New Roman"/>
      <w:b/>
      <w:bCs/>
      <w:i/>
      <w:iCs/>
      <w:sz w:val="20"/>
      <w:szCs w:val="20"/>
    </w:rPr>
  </w:style>
  <w:style w:type="character" w:styleId="965" w:customStyle="1">
    <w:name w:val="Font Style18"/>
    <w:basedOn w:val="903"/>
    <w:uiPriority w:val="99"/>
    <w:rPr>
      <w:rFonts w:ascii="Times New Roman" w:hAnsi="Times New Roman" w:cs="Times New Roman"/>
      <w:sz w:val="22"/>
      <w:szCs w:val="22"/>
    </w:rPr>
  </w:style>
  <w:style w:type="character" w:styleId="966" w:customStyle="1">
    <w:name w:val="Верхний колонтитул Знак"/>
    <w:basedOn w:val="903"/>
    <w:link w:val="967"/>
    <w:uiPriority w:val="99"/>
    <w:semiHidden/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967">
    <w:name w:val="Header"/>
    <w:basedOn w:val="898"/>
    <w:link w:val="966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paragraph" w:styleId="968">
    <w:name w:val="Footer"/>
    <w:basedOn w:val="898"/>
    <w:link w:val="96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69" w:customStyle="1">
    <w:name w:val="Нижний колонтитул Знак"/>
    <w:basedOn w:val="903"/>
    <w:link w:val="968"/>
    <w:uiPriority w:val="99"/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970">
    <w:name w:val="List Paragraph"/>
    <w:basedOn w:val="898"/>
    <w:uiPriority w:val="34"/>
    <w:qFormat/>
    <w:pPr>
      <w:contextualSpacing/>
      <w:ind w:left="720"/>
      <w:widowControl/>
    </w:pPr>
    <w:rPr>
      <w:rFonts w:eastAsia="Times New Roman"/>
      <w:sz w:val="20"/>
      <w:szCs w:val="20"/>
      <w:lang w:val="en-US"/>
    </w:rPr>
  </w:style>
  <w:style w:type="paragraph" w:styleId="971" w:customStyle="1">
    <w:name w:val="ConsPlusNormal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2" w:customStyle="1">
    <w:name w:val="apple-converted-space"/>
    <w:basedOn w:val="903"/>
    <w:uiPriority w:val="99"/>
  </w:style>
  <w:style w:type="character" w:styleId="973" w:customStyle="1">
    <w:name w:val="Заголовок №7_"/>
    <w:basedOn w:val="903"/>
    <w:link w:val="974"/>
    <w:uiPriority w:val="99"/>
    <w:rPr>
      <w:rFonts w:ascii="Book Antiqua" w:hAnsi="Book Antiqua"/>
      <w:b/>
      <w:bCs/>
      <w:spacing w:val="-5"/>
      <w:sz w:val="23"/>
      <w:szCs w:val="23"/>
      <w:shd w:val="clear" w:color="auto" w:fill="ffffff"/>
    </w:rPr>
  </w:style>
  <w:style w:type="paragraph" w:styleId="974" w:customStyle="1">
    <w:name w:val="Заголовок №71"/>
    <w:basedOn w:val="898"/>
    <w:link w:val="973"/>
    <w:uiPriority w:val="99"/>
    <w:pPr>
      <w:jc w:val="both"/>
      <w:spacing w:after="300" w:line="240" w:lineRule="atLeast"/>
      <w:shd w:val="clear" w:color="auto" w:fill="ffffff"/>
      <w:widowControl/>
      <w:outlineLvl w:val="6"/>
    </w:pPr>
    <w:rPr>
      <w:rFonts w:ascii="Book Antiqua" w:hAnsi="Book Antiqua" w:eastAsiaTheme="minorHAnsi" w:cstheme="minorBidi"/>
      <w:b/>
      <w:bCs/>
      <w:spacing w:val="-5"/>
      <w:sz w:val="23"/>
      <w:szCs w:val="23"/>
      <w:lang w:eastAsia="en-US"/>
    </w:rPr>
  </w:style>
  <w:style w:type="character" w:styleId="975" w:customStyle="1">
    <w:name w:val="Основной текст (2)"/>
    <w:basedOn w:val="912"/>
    <w:rPr>
      <w:rFonts w:ascii="Arial" w:hAnsi="Arial"/>
      <w:b/>
      <w:bCs/>
      <w:spacing w:val="1"/>
      <w:sz w:val="17"/>
      <w:szCs w:val="17"/>
      <w:u w:val="single"/>
      <w:shd w:val="clear" w:color="auto" w:fill="ffffff"/>
    </w:rPr>
  </w:style>
  <w:style w:type="character" w:styleId="976" w:customStyle="1">
    <w:name w:val="Основной текст (4)_"/>
    <w:basedOn w:val="903"/>
    <w:link w:val="977"/>
    <w:uiPriority w:val="99"/>
    <w:rPr>
      <w:rFonts w:ascii="Book Antiqua" w:hAnsi="Book Antiqua"/>
      <w:b/>
      <w:bCs/>
      <w:spacing w:val="-5"/>
      <w:sz w:val="23"/>
      <w:szCs w:val="23"/>
      <w:shd w:val="clear" w:color="auto" w:fill="ffffff"/>
    </w:rPr>
  </w:style>
  <w:style w:type="paragraph" w:styleId="977" w:customStyle="1">
    <w:name w:val="Основной текст (4)1"/>
    <w:basedOn w:val="898"/>
    <w:link w:val="976"/>
    <w:uiPriority w:val="99"/>
    <w:pPr>
      <w:ind w:hanging="1260"/>
      <w:spacing w:before="120" w:line="240" w:lineRule="atLeast"/>
      <w:shd w:val="clear" w:color="auto" w:fill="ffffff"/>
      <w:widowControl/>
    </w:pPr>
    <w:rPr>
      <w:rFonts w:ascii="Book Antiqua" w:hAnsi="Book Antiqua" w:eastAsiaTheme="minorHAnsi" w:cstheme="minorBidi"/>
      <w:b/>
      <w:bCs/>
      <w:spacing w:val="-5"/>
      <w:sz w:val="23"/>
      <w:szCs w:val="23"/>
      <w:lang w:eastAsia="en-US"/>
    </w:rPr>
  </w:style>
  <w:style w:type="character" w:styleId="978" w:customStyle="1">
    <w:name w:val="Основной текст + Arial"/>
    <w:basedOn w:val="903"/>
    <w:uiPriority w:val="99"/>
    <w:rPr>
      <w:rFonts w:ascii="Arial" w:hAnsi="Arial" w:cs="Arial"/>
      <w:spacing w:val="1"/>
      <w:sz w:val="21"/>
      <w:szCs w:val="21"/>
      <w:shd w:val="clear" w:color="auto" w:fill="ffffff"/>
    </w:rPr>
  </w:style>
  <w:style w:type="character" w:styleId="979" w:customStyle="1">
    <w:name w:val="Основной текст (3)8"/>
    <w:basedOn w:val="914"/>
    <w:uiPriority w:val="99"/>
    <w:rPr>
      <w:rFonts w:ascii="Book Antiqua" w:hAnsi="Book Antiqua" w:cs="Book Antiqua"/>
      <w:sz w:val="17"/>
      <w:szCs w:val="17"/>
      <w:u w:val="single"/>
      <w:shd w:val="clear" w:color="auto" w:fill="ffffff"/>
      <w:lang w:bidi="ar-SA"/>
    </w:rPr>
  </w:style>
  <w:style w:type="character" w:styleId="980" w:customStyle="1">
    <w:name w:val="Основной текст (6)_"/>
    <w:basedOn w:val="903"/>
    <w:link w:val="981"/>
    <w:uiPriority w:val="99"/>
    <w:rPr>
      <w:rFonts w:ascii="Book Antiqua" w:hAnsi="Book Antiqua" w:cs="Times New Roman"/>
      <w:i/>
      <w:iCs/>
      <w:spacing w:val="-13"/>
      <w:shd w:val="clear" w:color="auto" w:fill="ffffff"/>
    </w:rPr>
  </w:style>
  <w:style w:type="paragraph" w:styleId="981" w:customStyle="1">
    <w:name w:val="Основной текст (6)"/>
    <w:basedOn w:val="898"/>
    <w:link w:val="980"/>
    <w:uiPriority w:val="99"/>
    <w:pPr>
      <w:jc w:val="right"/>
      <w:spacing w:after="120" w:line="227" w:lineRule="exact"/>
      <w:shd w:val="clear" w:color="auto" w:fill="ffffff"/>
      <w:widowControl/>
    </w:pPr>
    <w:rPr>
      <w:rFonts w:ascii="Book Antiqua" w:hAnsi="Book Antiqua" w:eastAsiaTheme="minorHAnsi"/>
      <w:i/>
      <w:iCs/>
      <w:spacing w:val="-13"/>
      <w:sz w:val="22"/>
      <w:szCs w:val="22"/>
      <w:lang w:eastAsia="en-US"/>
    </w:rPr>
  </w:style>
  <w:style w:type="character" w:styleId="982" w:customStyle="1">
    <w:name w:val="Основной текст (6) + 9 pt"/>
    <w:basedOn w:val="980"/>
    <w:uiPriority w:val="99"/>
    <w:rPr>
      <w:rFonts w:ascii="Book Antiqua" w:hAnsi="Book Antiqua" w:cs="Times New Roman"/>
      <w:i/>
      <w:iCs/>
      <w:spacing w:val="-13"/>
      <w:sz w:val="17"/>
      <w:szCs w:val="17"/>
      <w:shd w:val="clear" w:color="auto" w:fill="ffffff"/>
    </w:rPr>
  </w:style>
  <w:style w:type="character" w:styleId="983" w:customStyle="1">
    <w:name w:val="Оглавление (3)_"/>
    <w:basedOn w:val="903"/>
    <w:link w:val="984"/>
    <w:uiPriority w:val="99"/>
    <w:rPr>
      <w:rFonts w:ascii="Book Antiqua" w:hAnsi="Book Antiqua" w:cs="Times New Roman"/>
      <w:b/>
      <w:bCs/>
      <w:spacing w:val="-5"/>
      <w:sz w:val="23"/>
      <w:szCs w:val="23"/>
      <w:shd w:val="clear" w:color="auto" w:fill="ffffff"/>
    </w:rPr>
  </w:style>
  <w:style w:type="paragraph" w:styleId="984" w:customStyle="1">
    <w:name w:val="Оглавление (3)1"/>
    <w:basedOn w:val="898"/>
    <w:link w:val="983"/>
    <w:uiPriority w:val="99"/>
    <w:pPr>
      <w:spacing w:line="240" w:lineRule="atLeast"/>
      <w:shd w:val="clear" w:color="auto" w:fill="ffffff"/>
      <w:widowControl/>
    </w:pPr>
    <w:rPr>
      <w:rFonts w:ascii="Book Antiqua" w:hAnsi="Book Antiqua" w:eastAsiaTheme="minorHAnsi"/>
      <w:b/>
      <w:bCs/>
      <w:spacing w:val="-5"/>
      <w:sz w:val="23"/>
      <w:szCs w:val="23"/>
      <w:lang w:eastAsia="en-US"/>
    </w:rPr>
  </w:style>
  <w:style w:type="character" w:styleId="985" w:customStyle="1">
    <w:name w:val="Оглавление (3) + 101"/>
    <w:basedOn w:val="983"/>
    <w:uiPriority w:val="99"/>
    <w:rPr>
      <w:rFonts w:ascii="Book Antiqua" w:hAnsi="Book Antiqua" w:cs="Book Antiqua"/>
      <w:b/>
      <w:bCs/>
      <w:spacing w:val="-5"/>
      <w:sz w:val="20"/>
      <w:szCs w:val="20"/>
      <w:shd w:val="clear" w:color="auto" w:fill="ffffff"/>
    </w:rPr>
  </w:style>
  <w:style w:type="character" w:styleId="986" w:customStyle="1">
    <w:name w:val="Заголовок №7 + 9 pt"/>
    <w:basedOn w:val="973"/>
    <w:uiPriority w:val="99"/>
    <w:rPr>
      <w:rFonts w:ascii="Book Antiqua" w:hAnsi="Book Antiqua" w:cs="Book Antiqua"/>
      <w:b/>
      <w:bCs/>
      <w:spacing w:val="21"/>
      <w:sz w:val="17"/>
      <w:szCs w:val="17"/>
      <w:shd w:val="clear" w:color="auto" w:fill="ffffff"/>
      <w:lang w:bidi="ar-SA"/>
    </w:rPr>
  </w:style>
  <w:style w:type="character" w:styleId="987" w:customStyle="1">
    <w:name w:val="Заголовок №7"/>
    <w:basedOn w:val="973"/>
    <w:uiPriority w:val="99"/>
    <w:rPr>
      <w:rFonts w:ascii="Book Antiqua" w:hAnsi="Book Antiqua" w:cs="Book Antiqua"/>
      <w:b/>
      <w:bCs/>
      <w:spacing w:val="-5"/>
      <w:sz w:val="23"/>
      <w:szCs w:val="23"/>
      <w:u w:val="single"/>
      <w:shd w:val="clear" w:color="auto" w:fill="ffffff"/>
      <w:lang w:bidi="ar-SA"/>
    </w:rPr>
  </w:style>
  <w:style w:type="character" w:styleId="988" w:customStyle="1">
    <w:name w:val="Основной текст_"/>
    <w:basedOn w:val="903"/>
    <w:link w:val="989"/>
    <w:rPr>
      <w:rFonts w:ascii="Arial" w:hAnsi="Arial" w:cs="Arial"/>
      <w:sz w:val="19"/>
      <w:szCs w:val="19"/>
      <w:shd w:val="clear" w:color="auto" w:fill="ffffff"/>
    </w:rPr>
  </w:style>
  <w:style w:type="paragraph" w:styleId="989" w:customStyle="1">
    <w:name w:val="Основной текст3"/>
    <w:basedOn w:val="898"/>
    <w:link w:val="988"/>
    <w:pPr>
      <w:ind w:hanging="360"/>
      <w:spacing w:line="202" w:lineRule="exact"/>
      <w:shd w:val="clear" w:color="auto" w:fill="ffffff"/>
    </w:pPr>
    <w:rPr>
      <w:rFonts w:ascii="Arial" w:hAnsi="Arial" w:cs="Arial" w:eastAsiaTheme="minorHAnsi"/>
      <w:sz w:val="19"/>
      <w:szCs w:val="19"/>
      <w:lang w:eastAsia="en-US"/>
    </w:rPr>
  </w:style>
  <w:style w:type="character" w:styleId="990" w:customStyle="1">
    <w:name w:val="Основной текст + Times New Roman"/>
    <w:basedOn w:val="988"/>
    <w:uiPriority w:val="99"/>
    <w:rPr>
      <w:rFonts w:ascii="Times New Roman" w:hAnsi="Times New Roman" w:cs="Times New Roman"/>
      <w:b/>
      <w:bCs/>
      <w:color w:val="000000"/>
      <w:spacing w:val="0"/>
      <w:position w:val="0"/>
      <w:sz w:val="21"/>
      <w:szCs w:val="21"/>
      <w:shd w:val="clear" w:color="auto" w:fill="ffffff"/>
      <w:lang w:val="ru-RU"/>
    </w:rPr>
  </w:style>
  <w:style w:type="character" w:styleId="991" w:customStyle="1">
    <w:name w:val="Основной текст (26)"/>
    <w:basedOn w:val="903"/>
    <w:uiPriority w:val="99"/>
    <w:rPr>
      <w:rFonts w:ascii="Arial" w:hAnsi="Arial" w:cs="Arial"/>
      <w:color w:val="000000"/>
      <w:spacing w:val="0"/>
      <w:position w:val="0"/>
      <w:sz w:val="20"/>
      <w:szCs w:val="20"/>
      <w:u w:val="single"/>
      <w:lang w:val="ru-RU"/>
    </w:rPr>
  </w:style>
  <w:style w:type="paragraph" w:styleId="992" w:customStyle="1">
    <w:name w:val="Default"/>
    <w:pPr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eastAsia="ru-RU"/>
    </w:rPr>
  </w:style>
  <w:style w:type="paragraph" w:styleId="993" w:customStyle="1">
    <w:name w:val="formattext"/>
    <w:basedOn w:val="898"/>
    <w:uiPriority w:val="99"/>
    <w:pPr>
      <w:spacing w:before="100" w:beforeAutospacing="1" w:after="100" w:afterAutospacing="1"/>
      <w:widowControl/>
    </w:pPr>
    <w:rPr>
      <w:rFonts w:eastAsia="Times New Roman"/>
    </w:rPr>
  </w:style>
  <w:style w:type="character" w:styleId="994" w:customStyle="1">
    <w:name w:val="Основной текст + Courier New1"/>
    <w:basedOn w:val="988"/>
    <w:uiPriority w:val="99"/>
    <w:rPr>
      <w:rFonts w:ascii="Courier New" w:hAnsi="Courier New" w:cs="Courier New"/>
      <w:color w:val="000000"/>
      <w:spacing w:val="0"/>
      <w:position w:val="0"/>
      <w:sz w:val="15"/>
      <w:szCs w:val="15"/>
      <w:u w:val="none"/>
      <w:shd w:val="clear" w:color="auto" w:fill="ffffff"/>
      <w:lang w:val="ru-RU"/>
    </w:rPr>
  </w:style>
  <w:style w:type="character" w:styleId="995" w:customStyle="1">
    <w:name w:val="Основной текст + Курсив"/>
    <w:basedOn w:val="988"/>
    <w:uiPriority w:val="99"/>
    <w:rPr>
      <w:rFonts w:ascii="Arial" w:hAnsi="Arial" w:cs="Arial"/>
      <w:i/>
      <w:iCs/>
      <w:color w:val="000000"/>
      <w:spacing w:val="-30"/>
      <w:position w:val="0"/>
      <w:sz w:val="19"/>
      <w:szCs w:val="19"/>
      <w:u w:val="none"/>
      <w:shd w:val="clear" w:color="auto" w:fill="ffffff"/>
      <w:lang w:val="ru-RU"/>
    </w:rPr>
  </w:style>
  <w:style w:type="character" w:styleId="996" w:customStyle="1">
    <w:name w:val="Основной текст + Corbel"/>
    <w:basedOn w:val="988"/>
    <w:uiPriority w:val="99"/>
    <w:rPr>
      <w:rFonts w:ascii="Corbel" w:hAnsi="Corbel" w:cs="Corbel"/>
      <w:color w:val="000000"/>
      <w:spacing w:val="0"/>
      <w:position w:val="0"/>
      <w:sz w:val="28"/>
      <w:szCs w:val="28"/>
      <w:u w:val="none"/>
      <w:shd w:val="clear" w:color="auto" w:fill="ffffff"/>
      <w:lang w:val="ru-RU"/>
    </w:rPr>
  </w:style>
  <w:style w:type="character" w:styleId="997" w:customStyle="1">
    <w:name w:val="Основной текст + Малые прописные"/>
    <w:basedOn w:val="988"/>
    <w:uiPriority w:val="99"/>
    <w:rPr>
      <w:rFonts w:ascii="Arial" w:hAnsi="Arial" w:cs="Arial"/>
      <w:smallCaps/>
      <w:color w:val="000000"/>
      <w:spacing w:val="0"/>
      <w:position w:val="0"/>
      <w:sz w:val="19"/>
      <w:szCs w:val="19"/>
      <w:u w:val="none"/>
      <w:shd w:val="clear" w:color="auto" w:fill="ffffff"/>
      <w:lang w:val="ru-RU"/>
    </w:rPr>
  </w:style>
  <w:style w:type="character" w:styleId="998" w:customStyle="1">
    <w:name w:val="Основной текст (3) + Малые прописные"/>
    <w:basedOn w:val="914"/>
    <w:uiPriority w:val="99"/>
    <w:rPr>
      <w:rFonts w:ascii="Times New Roman" w:hAnsi="Times New Roman" w:cs="Times New Roman"/>
      <w:smallCaps/>
      <w:color w:val="000000"/>
      <w:spacing w:val="0"/>
      <w:position w:val="0"/>
      <w:sz w:val="21"/>
      <w:szCs w:val="21"/>
      <w:u w:val="none"/>
      <w:shd w:val="clear" w:color="auto" w:fill="ffffff"/>
      <w:lang w:val="en-US"/>
    </w:rPr>
  </w:style>
  <w:style w:type="character" w:styleId="999" w:customStyle="1">
    <w:name w:val="Основной текст + Courier New"/>
    <w:basedOn w:val="988"/>
    <w:uiPriority w:val="99"/>
    <w:rPr>
      <w:rFonts w:ascii="Courier New" w:hAnsi="Courier New" w:cs="Courier New"/>
      <w:color w:val="000000"/>
      <w:spacing w:val="0"/>
      <w:position w:val="0"/>
      <w:sz w:val="19"/>
      <w:szCs w:val="19"/>
      <w:u w:val="none"/>
      <w:shd w:val="clear" w:color="auto" w:fill="ffffff"/>
      <w:lang w:val="ru-RU"/>
    </w:rPr>
  </w:style>
  <w:style w:type="paragraph" w:styleId="1000" w:customStyle="1">
    <w:name w:val="formattext topleveltext"/>
    <w:basedOn w:val="898"/>
    <w:pPr>
      <w:spacing w:before="100" w:beforeAutospacing="1" w:after="100" w:afterAutospacing="1"/>
      <w:widowControl/>
    </w:pPr>
    <w:rPr>
      <w:rFonts w:eastAsia="Times New Roman"/>
    </w:rPr>
  </w:style>
  <w:style w:type="paragraph" w:styleId="1001" w:customStyle="1">
    <w:name w:val="Основной текст8"/>
    <w:basedOn w:val="898"/>
    <w:pPr>
      <w:ind w:hanging="1340"/>
      <w:jc w:val="both"/>
      <w:spacing w:before="120" w:line="250" w:lineRule="exact"/>
      <w:shd w:val="clear" w:color="auto" w:fill="ffffff"/>
    </w:pPr>
    <w:rPr>
      <w:rFonts w:eastAsia="Times New Roman"/>
      <w:sz w:val="21"/>
      <w:szCs w:val="21"/>
      <w:lang w:eastAsia="en-US"/>
    </w:rPr>
  </w:style>
  <w:style w:type="character" w:styleId="1002" w:customStyle="1">
    <w:name w:val="Основной текст Exact"/>
    <w:basedOn w:val="903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6"/>
      <w:sz w:val="20"/>
      <w:szCs w:val="20"/>
      <w:u w:val="none"/>
    </w:rPr>
  </w:style>
  <w:style w:type="character" w:styleId="1003" w:customStyle="1">
    <w:name w:val="Основной текст7"/>
    <w:basedOn w:val="988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6"/>
      <w:position w:val="0"/>
      <w:sz w:val="20"/>
      <w:szCs w:val="20"/>
      <w:u w:val="none"/>
      <w:shd w:val="clear" w:color="auto" w:fill="ffffff"/>
      <w:lang w:val="ru-RU"/>
    </w:rPr>
  </w:style>
  <w:style w:type="character" w:styleId="1004" w:customStyle="1">
    <w:name w:val="Основной текст + 9;5 pt;Интервал 0 pt"/>
    <w:basedOn w:val="988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10"/>
      <w:position w:val="0"/>
      <w:sz w:val="19"/>
      <w:szCs w:val="19"/>
      <w:u w:val="none"/>
      <w:shd w:val="clear" w:color="auto" w:fill="ffffff"/>
      <w:lang w:val="ru-RU"/>
    </w:rPr>
  </w:style>
  <w:style w:type="character" w:styleId="1005" w:customStyle="1">
    <w:name w:val="Основной текст + 9 pt;Курсив;Интервал -1 pt"/>
    <w:basedOn w:val="988"/>
    <w:rPr>
      <w:rFonts w:ascii="Times New Roman" w:hAnsi="Times New Roman" w:eastAsia="Times New Roman" w:cs="Times New Roman"/>
      <w:b w:val="0"/>
      <w:bCs w:val="0"/>
      <w:i/>
      <w:iCs/>
      <w:smallCaps w:val="0"/>
      <w:strike w:val="0"/>
      <w:color w:val="000000"/>
      <w:spacing w:val="-26"/>
      <w:position w:val="0"/>
      <w:sz w:val="18"/>
      <w:szCs w:val="18"/>
      <w:u w:val="none"/>
      <w:shd w:val="clear" w:color="auto" w:fill="ffffff"/>
      <w:lang w:val="ru-RU"/>
    </w:rPr>
  </w:style>
  <w:style w:type="character" w:styleId="1006" w:customStyle="1">
    <w:name w:val="Основной текст + Полужирный"/>
    <w:basedOn w:val="988"/>
    <w:rPr>
      <w:rFonts w:ascii="Times New Roman" w:hAnsi="Times New Roman" w:eastAsia="Times New Roman" w:cs="Times New Roman"/>
      <w:b/>
      <w:bCs/>
      <w:color w:val="000000"/>
      <w:spacing w:val="0"/>
      <w:position w:val="0"/>
      <w:sz w:val="21"/>
      <w:szCs w:val="21"/>
      <w:shd w:val="clear" w:color="auto" w:fill="ffffff"/>
      <w:lang w:val="ru-RU"/>
    </w:rPr>
  </w:style>
  <w:style w:type="character" w:styleId="1007" w:customStyle="1">
    <w:name w:val="Основной текст + 10 pt"/>
    <w:basedOn w:val="988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shd w:val="clear" w:color="auto" w:fill="ffffff"/>
      <w:lang w:val="ru-RU"/>
    </w:rPr>
  </w:style>
  <w:style w:type="paragraph" w:styleId="1008">
    <w:name w:val="Normal (Web)"/>
    <w:basedOn w:val="898"/>
    <w:uiPriority w:val="99"/>
    <w:semiHidden/>
    <w:pPr>
      <w:spacing w:before="100" w:beforeAutospacing="1" w:after="100" w:afterAutospacing="1"/>
      <w:widowControl/>
    </w:pPr>
    <w:rPr>
      <w:rFonts w:eastAsia="Times New Roman"/>
      <w:color w:val="000000"/>
    </w:rPr>
  </w:style>
  <w:style w:type="character" w:styleId="1009">
    <w:name w:val="Hyperlink"/>
    <w:uiPriority w:val="99"/>
    <w:semiHidden/>
    <w:unhideWhenUsed/>
    <w:rPr>
      <w:color w:val="0000ff"/>
      <w:u w:val="single"/>
    </w:rPr>
  </w:style>
  <w:style w:type="paragraph" w:styleId="1010" w:customStyle="1">
    <w:name w:val="Заголовок1"/>
    <w:uiPriority w:val="99"/>
    <w:pPr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character" w:styleId="1011" w:customStyle="1">
    <w:name w:val="Заголовок 2 Знак"/>
    <w:basedOn w:val="903"/>
    <w:link w:val="900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1012" w:customStyle="1">
    <w:name w:val="Заголовок 1 Знак"/>
    <w:basedOn w:val="903"/>
    <w:link w:val="899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table" w:styleId="1013">
    <w:name w:val="Table Grid"/>
    <w:basedOn w:val="9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14" w:customStyle="1">
    <w:name w:val="fontstyle01"/>
    <w:basedOn w:val="903"/>
    <w:rPr>
      <w:rFonts w:hint="default" w:ascii="TimesNewRomanPSMT" w:hAnsi="TimesNewRomanPSMT"/>
      <w:b w:val="0"/>
      <w:bCs w:val="0"/>
      <w:i w:val="0"/>
      <w:iCs w:val="0"/>
      <w:color w:val="000000"/>
      <w:sz w:val="26"/>
      <w:szCs w:val="26"/>
    </w:rPr>
  </w:style>
  <w:style w:type="paragraph" w:styleId="1015" w:customStyle="1">
    <w:name w:val="ConsPlusTitle"/>
    <w:pPr>
      <w:spacing w:after="0" w:line="240" w:lineRule="auto"/>
      <w:widowControl w:val="off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1016" w:customStyle="1">
    <w:name w:val="Содержимое таблицы"/>
    <w:basedOn w:val="760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17" w:customStyle="1">
    <w:name w:val="Без интервала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63F2B2-F6EF-43DD-A5A9-9F93BB719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a.mihajlov</dc:creator>
  <cp:lastModifiedBy>o.sunarchina</cp:lastModifiedBy>
  <cp:revision>47</cp:revision>
  <dcterms:created xsi:type="dcterms:W3CDTF">2023-06-23T13:11:00Z</dcterms:created>
  <dcterms:modified xsi:type="dcterms:W3CDTF">2026-09-11T12:21:24Z</dcterms:modified>
</cp:coreProperties>
</file>