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4835F5" w:rsidRDefault="003063CE" w:rsidP="004835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  <w:u w:val="single"/>
        </w:rPr>
        <w:t>Постановление администрации</w:t>
      </w:r>
      <w:r w:rsidR="008A78C9" w:rsidRPr="008A78C9">
        <w:rPr>
          <w:sz w:val="28"/>
          <w:szCs w:val="28"/>
          <w:u w:val="single"/>
        </w:rPr>
        <w:t xml:space="preserve"> Вадского муниципального округа </w:t>
      </w:r>
      <w:r w:rsidR="008A78C9" w:rsidRPr="00E83E3E">
        <w:rPr>
          <w:sz w:val="28"/>
          <w:szCs w:val="28"/>
          <w:u w:val="single"/>
        </w:rPr>
        <w:t xml:space="preserve">Нижегородской области </w:t>
      </w:r>
      <w:r w:rsidR="00E83E3E" w:rsidRPr="00E83E3E">
        <w:rPr>
          <w:sz w:val="28"/>
          <w:szCs w:val="28"/>
        </w:rPr>
        <w:t>«</w:t>
      </w:r>
      <w:r w:rsidR="004835F5" w:rsidRPr="00695DEB">
        <w:rPr>
          <w:rFonts w:ascii="Times New Roman" w:hAnsi="Times New Roman"/>
          <w:sz w:val="28"/>
          <w:szCs w:val="28"/>
        </w:rPr>
        <w:t xml:space="preserve">постановление администрации Вадского муниципального округа Нижегородской области </w:t>
      </w:r>
      <w:r w:rsidR="004835F5" w:rsidRPr="00B40A03">
        <w:rPr>
          <w:rFonts w:ascii="Times New Roman" w:hAnsi="Times New Roman"/>
          <w:sz w:val="28"/>
          <w:szCs w:val="28"/>
        </w:rPr>
        <w:t>«</w:t>
      </w:r>
      <w:r w:rsidR="004835F5" w:rsidRPr="00B40A03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Вадского муниципально</w:t>
      </w:r>
      <w:r w:rsidR="004835F5">
        <w:rPr>
          <w:rFonts w:ascii="Times New Roman" w:hAnsi="Times New Roman"/>
          <w:bCs/>
          <w:sz w:val="28"/>
          <w:szCs w:val="28"/>
          <w:lang w:eastAsia="ru-RU"/>
        </w:rPr>
        <w:t xml:space="preserve">го округа Нижегородской области» </w:t>
      </w:r>
      <w:r w:rsidR="004835F5" w:rsidRPr="00B40A03">
        <w:rPr>
          <w:rFonts w:ascii="Times New Roman" w:hAnsi="Times New Roman"/>
          <w:bCs/>
          <w:sz w:val="28"/>
          <w:szCs w:val="28"/>
          <w:lang w:eastAsia="ru-RU"/>
        </w:rPr>
        <w:t>от 21 марта 2024 г. № 360</w:t>
      </w:r>
      <w:r w:rsidR="004835F5" w:rsidRPr="007408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35F5" w:rsidRPr="009C2DBC">
        <w:rPr>
          <w:rFonts w:ascii="Times New Roman" w:hAnsi="Times New Roman"/>
          <w:sz w:val="28"/>
          <w:szCs w:val="28"/>
          <w:lang w:eastAsia="ru-RU"/>
        </w:rPr>
        <w:t xml:space="preserve">в Порядок </w:t>
      </w:r>
      <w:r w:rsidR="004835F5" w:rsidRPr="009C2DB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субсидии из бюджета Вадского муниципального округа Нижегородской области на 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</w:t>
      </w:r>
      <w:proofErr w:type="gramEnd"/>
      <w:r w:rsidR="004835F5" w:rsidRPr="009C2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возмещению части затрат на поддержку племенного животноводства за счет средств федерально</w:t>
      </w:r>
      <w:r w:rsidR="004835F5">
        <w:rPr>
          <w:rFonts w:ascii="Times New Roman" w:hAnsi="Times New Roman"/>
          <w:color w:val="000000"/>
          <w:sz w:val="28"/>
          <w:szCs w:val="28"/>
          <w:lang w:eastAsia="ru-RU"/>
        </w:rPr>
        <w:t>го бюджета и областного бюджета</w:t>
      </w:r>
      <w:proofErr w:type="gramStart"/>
      <w:r w:rsidR="004835F5">
        <w:rPr>
          <w:rFonts w:ascii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8A78C9" w:rsidRPr="008A78C9" w:rsidRDefault="008A78C9" w:rsidP="004835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78C9">
        <w:rPr>
          <w:rFonts w:ascii="Times New Roman" w:hAnsi="Times New Roman"/>
          <w:sz w:val="28"/>
          <w:szCs w:val="28"/>
        </w:rPr>
        <w:t>1. Срок проведения публичных консультаций:</w:t>
      </w:r>
    </w:p>
    <w:p w:rsidR="00EA6F2C" w:rsidRPr="00EA6F2C" w:rsidRDefault="00EA6F2C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2C">
        <w:rPr>
          <w:rFonts w:ascii="Times New Roman" w:hAnsi="Times New Roman"/>
          <w:sz w:val="28"/>
          <w:szCs w:val="28"/>
          <w:lang w:eastAsia="ru-RU"/>
        </w:rPr>
        <w:t>«</w:t>
      </w:r>
      <w:r w:rsidR="006F2235">
        <w:rPr>
          <w:rFonts w:ascii="Times New Roman" w:hAnsi="Times New Roman"/>
          <w:sz w:val="28"/>
          <w:szCs w:val="28"/>
          <w:lang w:eastAsia="ru-RU"/>
        </w:rPr>
        <w:t>1</w:t>
      </w:r>
      <w:r w:rsidR="00656573" w:rsidRPr="00656573">
        <w:rPr>
          <w:rFonts w:ascii="Times New Roman" w:hAnsi="Times New Roman"/>
          <w:sz w:val="28"/>
          <w:szCs w:val="28"/>
          <w:lang w:eastAsia="ru-RU"/>
        </w:rPr>
        <w:t>3</w:t>
      </w:r>
      <w:r w:rsidR="008B043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56573">
        <w:rPr>
          <w:rFonts w:ascii="Times New Roman" w:hAnsi="Times New Roman"/>
          <w:sz w:val="28"/>
          <w:szCs w:val="28"/>
          <w:lang w:eastAsia="ru-RU"/>
        </w:rPr>
        <w:t>мая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F2235">
        <w:rPr>
          <w:rFonts w:ascii="Times New Roman" w:hAnsi="Times New Roman"/>
          <w:sz w:val="28"/>
          <w:szCs w:val="28"/>
          <w:lang w:eastAsia="ru-RU"/>
        </w:rPr>
        <w:t>5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 – «</w:t>
      </w:r>
      <w:r w:rsidR="006F2235">
        <w:rPr>
          <w:rFonts w:ascii="Times New Roman" w:hAnsi="Times New Roman"/>
          <w:sz w:val="28"/>
          <w:szCs w:val="28"/>
          <w:lang w:eastAsia="ru-RU"/>
        </w:rPr>
        <w:t>2</w:t>
      </w:r>
      <w:r w:rsidR="00656573">
        <w:rPr>
          <w:rFonts w:ascii="Times New Roman" w:hAnsi="Times New Roman"/>
          <w:sz w:val="28"/>
          <w:szCs w:val="28"/>
          <w:lang w:eastAsia="ru-RU"/>
        </w:rPr>
        <w:t>7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B0437">
        <w:rPr>
          <w:rFonts w:ascii="Times New Roman" w:hAnsi="Times New Roman"/>
          <w:sz w:val="28"/>
          <w:szCs w:val="28"/>
          <w:lang w:eastAsia="ru-RU"/>
        </w:rPr>
        <w:t>ма</w:t>
      </w:r>
      <w:r w:rsidR="00656573">
        <w:rPr>
          <w:rFonts w:ascii="Times New Roman" w:hAnsi="Times New Roman"/>
          <w:sz w:val="28"/>
          <w:szCs w:val="28"/>
          <w:lang w:eastAsia="ru-RU"/>
        </w:rPr>
        <w:t>я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F2235">
        <w:rPr>
          <w:rFonts w:ascii="Times New Roman" w:hAnsi="Times New Roman"/>
          <w:sz w:val="28"/>
          <w:szCs w:val="28"/>
          <w:lang w:eastAsia="ru-RU"/>
        </w:rPr>
        <w:t>5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6F2235" w:rsidP="006F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6573">
              <w:rPr>
                <w:rFonts w:ascii="Times New Roman" w:hAnsi="Times New Roman"/>
                <w:sz w:val="28"/>
                <w:szCs w:val="28"/>
              </w:rPr>
              <w:t>3.05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56573">
              <w:rPr>
                <w:rFonts w:ascii="Times New Roman" w:hAnsi="Times New Roman"/>
                <w:sz w:val="28"/>
                <w:szCs w:val="28"/>
              </w:rPr>
              <w:t>7</w:t>
            </w:r>
            <w:r w:rsidR="00402ECC">
              <w:rPr>
                <w:rFonts w:ascii="Times New Roman" w:hAnsi="Times New Roman"/>
                <w:sz w:val="28"/>
                <w:szCs w:val="28"/>
              </w:rPr>
              <w:t>.0</w:t>
            </w:r>
            <w:r w:rsidR="00656573">
              <w:rPr>
                <w:rFonts w:ascii="Times New Roman" w:hAnsi="Times New Roman"/>
                <w:sz w:val="28"/>
                <w:szCs w:val="28"/>
              </w:rPr>
              <w:t>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Вадского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67E00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2ECC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35F5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3E75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56573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6F2235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D7E03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0437"/>
    <w:rsid w:val="008B1A24"/>
    <w:rsid w:val="008B2E5A"/>
    <w:rsid w:val="008B3F09"/>
    <w:rsid w:val="008C2671"/>
    <w:rsid w:val="008C6893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ZEO</cp:lastModifiedBy>
  <cp:revision>4</cp:revision>
  <cp:lastPrinted>2022-01-10T08:17:00Z</cp:lastPrinted>
  <dcterms:created xsi:type="dcterms:W3CDTF">2025-05-30T11:39:00Z</dcterms:created>
  <dcterms:modified xsi:type="dcterms:W3CDTF">2025-05-30T12:27:00Z</dcterms:modified>
</cp:coreProperties>
</file>