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22376" w14:textId="77777777"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002713CD" w14:textId="77777777" w:rsidR="00556B82" w:rsidRPr="00021654" w:rsidRDefault="008A78C9" w:rsidP="00021654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14:paraId="762F6035" w14:textId="77777777"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ACF10" w14:textId="77777777" w:rsidR="008A78C9" w:rsidRDefault="008A78C9" w:rsidP="000A4BA2">
      <w:pPr>
        <w:pStyle w:val="3"/>
        <w:shd w:val="clear" w:color="auto" w:fill="auto"/>
        <w:spacing w:before="0" w:after="0"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23659C6" w14:textId="77777777" w:rsidR="008A78C9" w:rsidRDefault="008A78C9" w:rsidP="000A4BA2">
      <w:pPr>
        <w:pStyle w:val="3"/>
        <w:shd w:val="clear" w:color="auto" w:fill="auto"/>
        <w:spacing w:before="0" w:after="0"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14:paraId="2A1EED47" w14:textId="77777777" w:rsidR="008A78C9" w:rsidRPr="008A78C9" w:rsidRDefault="008A78C9" w:rsidP="000A4BA2">
      <w:pPr>
        <w:pStyle w:val="3"/>
        <w:shd w:val="clear" w:color="auto" w:fill="auto"/>
        <w:spacing w:before="0" w:after="0"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18971" w14:textId="77777777" w:rsidR="008A78C9" w:rsidRPr="008A78C9" w:rsidRDefault="000A4BA2" w:rsidP="000A4BA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14:paraId="2782AD49" w14:textId="77777777" w:rsidR="008A78C9" w:rsidRPr="008A78C9" w:rsidRDefault="008A78C9" w:rsidP="000A4BA2">
      <w:pPr>
        <w:pStyle w:val="50"/>
        <w:shd w:val="clear" w:color="auto" w:fill="auto"/>
        <w:spacing w:before="0" w:after="0" w:line="36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14:paraId="5B3E9F76" w14:textId="21BF3E14" w:rsidR="008A78C9" w:rsidRPr="008A78C9" w:rsidRDefault="000A4BA2" w:rsidP="00CE5E76">
      <w:pPr>
        <w:pStyle w:val="21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BA2">
        <w:rPr>
          <w:rFonts w:ascii="Times New Roman" w:hAnsi="Times New Roman"/>
          <w:sz w:val="28"/>
          <w:szCs w:val="28"/>
          <w:u w:val="single"/>
        </w:rPr>
        <w:t>постановление администрации Вадского муниципального округа Нижегородской области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CE5E76">
        <w:rPr>
          <w:rFonts w:ascii="Times New Roman" w:hAnsi="Times New Roman"/>
          <w:sz w:val="28"/>
          <w:szCs w:val="28"/>
          <w:u w:val="single"/>
        </w:rPr>
        <w:t xml:space="preserve"> жилищного</w:t>
      </w:r>
      <w:r w:rsidRPr="000A4BA2">
        <w:rPr>
          <w:rFonts w:ascii="Times New Roman" w:hAnsi="Times New Roman"/>
          <w:sz w:val="28"/>
          <w:szCs w:val="28"/>
          <w:u w:val="single"/>
        </w:rPr>
        <w:t xml:space="preserve"> контроля</w:t>
      </w:r>
      <w:r w:rsidR="00C86A7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A4BA2">
        <w:rPr>
          <w:rFonts w:ascii="Times New Roman" w:hAnsi="Times New Roman"/>
          <w:sz w:val="28"/>
          <w:szCs w:val="28"/>
          <w:u w:val="single"/>
        </w:rPr>
        <w:t xml:space="preserve">на территории </w:t>
      </w:r>
      <w:proofErr w:type="spellStart"/>
      <w:r w:rsidRPr="000A4BA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0A4BA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на 2025 год»</w:t>
      </w:r>
    </w:p>
    <w:p w14:paraId="0C7858D2" w14:textId="77777777" w:rsidR="008A78C9" w:rsidRPr="000A4BA2" w:rsidRDefault="008A78C9" w:rsidP="00CE5E76">
      <w:pPr>
        <w:pStyle w:val="21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14:paraId="7FF439CA" w14:textId="77777777" w:rsidR="008A78C9" w:rsidRPr="008A78C9" w:rsidRDefault="008A78C9" w:rsidP="000A4BA2">
      <w:pPr>
        <w:pStyle w:val="a7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14:paraId="654791C5" w14:textId="2BF572BA" w:rsidR="00CE5E76" w:rsidRPr="00347630" w:rsidRDefault="00CE5E76" w:rsidP="00CE5E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27» октября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23455">
        <w:rPr>
          <w:rFonts w:ascii="Times New Roman" w:hAnsi="Times New Roman"/>
          <w:sz w:val="28"/>
          <w:szCs w:val="28"/>
          <w:lang w:eastAsia="ru-RU"/>
        </w:rPr>
        <w:t>7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ноября 2024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14:paraId="3305F19F" w14:textId="77777777" w:rsidR="008A78C9" w:rsidRPr="008A78C9" w:rsidRDefault="008A78C9" w:rsidP="000A4BA2">
      <w:pPr>
        <w:pStyle w:val="a7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773"/>
        <w:gridCol w:w="2390"/>
      </w:tblGrid>
      <w:tr w:rsidR="008A78C9" w:rsidRPr="008A78C9" w14:paraId="0A968B41" w14:textId="77777777" w:rsidTr="009305C1">
        <w:trPr>
          <w:trHeight w:hRule="exact"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32A0C" w14:textId="77777777" w:rsidR="008A78C9" w:rsidRPr="008A78C9" w:rsidRDefault="008A78C9" w:rsidP="000A4BA2">
            <w:pPr>
              <w:pStyle w:val="3"/>
              <w:shd w:val="clear" w:color="auto" w:fill="auto"/>
              <w:spacing w:before="0" w:after="6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14:paraId="2840B433" w14:textId="77777777" w:rsidR="008A78C9" w:rsidRPr="008A78C9" w:rsidRDefault="008A78C9" w:rsidP="000A4BA2">
            <w:pPr>
              <w:pStyle w:val="3"/>
              <w:shd w:val="clear" w:color="auto" w:fill="auto"/>
              <w:spacing w:before="60" w:after="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DD7F3" w14:textId="77777777"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273CC" w14:textId="77777777"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12FE1" w14:textId="77777777"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14:paraId="3AFFBCC7" w14:textId="77777777" w:rsidTr="009305C1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8FF26" w14:textId="77777777" w:rsidR="008A78C9" w:rsidRDefault="008A78C9" w:rsidP="000A4BA2">
            <w:pPr>
              <w:spacing w:line="360" w:lineRule="auto"/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73113A08" w14:textId="77777777" w:rsidR="008A78C9" w:rsidRPr="008A78C9" w:rsidRDefault="008A78C9" w:rsidP="000A4BA2">
            <w:pPr>
              <w:spacing w:line="360" w:lineRule="auto"/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C2DF4" w14:textId="77777777" w:rsidR="008A78C9" w:rsidRPr="008A78C9" w:rsidRDefault="008A78C9" w:rsidP="009305C1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BDCF4" w14:textId="77777777" w:rsidR="008A78C9" w:rsidRDefault="008A78C9" w:rsidP="000A4B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486B76" w14:textId="493BBBF7" w:rsidR="008A78C9" w:rsidRPr="008A78C9" w:rsidRDefault="000A4BA2" w:rsidP="00C86A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E5E76">
              <w:rPr>
                <w:rFonts w:ascii="Times New Roman" w:hAnsi="Times New Roman"/>
                <w:sz w:val="28"/>
                <w:szCs w:val="28"/>
              </w:rPr>
              <w:t>7</w:t>
            </w:r>
            <w:r w:rsidR="006B6D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6A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 w:rsidR="008A78C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86A7A">
              <w:rPr>
                <w:rFonts w:ascii="Times New Roman" w:hAnsi="Times New Roman"/>
                <w:sz w:val="28"/>
                <w:szCs w:val="28"/>
              </w:rPr>
              <w:t>2</w:t>
            </w:r>
            <w:r w:rsidR="00623455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C86A7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5A24" w14:textId="77777777" w:rsidR="008A78C9" w:rsidRDefault="008A78C9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4213D6" w14:textId="77777777" w:rsidR="008A78C9" w:rsidRPr="008A78C9" w:rsidRDefault="00C86A7A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FF9F56E" w14:textId="77777777" w:rsidR="00556B82" w:rsidRDefault="00556B82" w:rsidP="000A4BA2">
      <w:pPr>
        <w:pStyle w:val="a7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14:paraId="334986AE" w14:textId="77777777" w:rsidR="008A78C9" w:rsidRPr="008A78C9" w:rsidRDefault="008A78C9" w:rsidP="000A4BA2">
      <w:pPr>
        <w:pStyle w:val="a7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14:paraId="26C095A8" w14:textId="77777777" w:rsidR="00556B82" w:rsidRPr="00FB4ECF" w:rsidRDefault="00FB4ECF" w:rsidP="00FB4ECF">
      <w:pPr>
        <w:pStyle w:val="a7"/>
        <w:shd w:val="clear" w:color="auto" w:fill="auto"/>
        <w:tabs>
          <w:tab w:val="left" w:leader="underscore" w:pos="6486"/>
        </w:tabs>
        <w:spacing w:after="11" w:line="360" w:lineRule="auto"/>
        <w:ind w:left="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</w:rPr>
        <w:t>1)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BA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</w:t>
      </w:r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>помощник у</w:t>
      </w:r>
      <w:r w:rsidR="008A78C9"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="008A78C9"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14:paraId="453A1CB5" w14:textId="77777777" w:rsidR="00FB4ECF" w:rsidRDefault="00FB4ECF" w:rsidP="00FB4ECF">
      <w:pPr>
        <w:pStyle w:val="21"/>
        <w:shd w:val="clear" w:color="auto" w:fill="auto"/>
        <w:spacing w:after="16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E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ECF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правления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АНО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Вадский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ЦРП» - Ширина Анна </w:t>
      </w:r>
      <w:r w:rsidRPr="00FB4ECF">
        <w:rPr>
          <w:rFonts w:ascii="Times New Roman" w:hAnsi="Times New Roman" w:cs="Times New Roman"/>
          <w:sz w:val="28"/>
          <w:szCs w:val="28"/>
          <w:u w:val="single"/>
        </w:rPr>
        <w:t>Владимировна.</w:t>
      </w:r>
    </w:p>
    <w:p w14:paraId="616C1AF4" w14:textId="77777777" w:rsidR="008A78C9" w:rsidRPr="008A78C9" w:rsidRDefault="008A78C9" w:rsidP="000A4BA2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14:paraId="0AEF664B" w14:textId="77777777" w:rsidTr="00021654">
        <w:trPr>
          <w:trHeight w:hRule="exact" w:val="16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2DC42" w14:textId="77777777" w:rsidR="008A78C9" w:rsidRPr="008A78C9" w:rsidRDefault="008A78C9" w:rsidP="000A4BA2">
            <w:pPr>
              <w:pStyle w:val="3"/>
              <w:shd w:val="clear" w:color="auto" w:fill="auto"/>
              <w:spacing w:before="0" w:after="6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14:paraId="04D88CBF" w14:textId="77777777" w:rsidR="008A78C9" w:rsidRPr="008A78C9" w:rsidRDefault="008A78C9" w:rsidP="000A4BA2">
            <w:pPr>
              <w:pStyle w:val="3"/>
              <w:shd w:val="clear" w:color="auto" w:fill="auto"/>
              <w:spacing w:before="60" w:after="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C3AC8" w14:textId="77777777"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7B165" w14:textId="77777777"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D4602" w14:textId="77777777"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14:paraId="7063B528" w14:textId="77777777"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14:paraId="3C29B83E" w14:textId="77777777"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14:paraId="278DEDFA" w14:textId="77777777"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14:paraId="4E7FFF8B" w14:textId="77777777" w:rsidTr="00797F29">
        <w:trPr>
          <w:trHeight w:hRule="exact" w:val="22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3EFE3" w14:textId="77777777" w:rsidR="008A78C9" w:rsidRPr="008A78C9" w:rsidRDefault="00E4036D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6AA7C" w14:textId="77777777" w:rsidR="008A78C9" w:rsidRPr="008A78C9" w:rsidRDefault="00C86A7A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73AC8" w14:textId="77777777" w:rsidR="008A78C9" w:rsidRPr="008A78C9" w:rsidRDefault="008A78C9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B525" w14:textId="77777777" w:rsidR="008A78C9" w:rsidRPr="008A78C9" w:rsidRDefault="008A78C9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7B4CB1" w14:textId="77777777"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39E9EE" w14:textId="77777777"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D0422D" w14:textId="77777777" w:rsidR="000A4BA2" w:rsidRDefault="000A4BA2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8795B6" w14:textId="77777777" w:rsidR="000A4BA2" w:rsidRDefault="000A4BA2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872708" w14:textId="77777777" w:rsidR="00C86A7A" w:rsidRPr="000A4BA2" w:rsidRDefault="000A4BA2" w:rsidP="00C86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BA2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C86A7A">
        <w:rPr>
          <w:rFonts w:ascii="Times New Roman" w:hAnsi="Times New Roman"/>
          <w:sz w:val="28"/>
          <w:szCs w:val="28"/>
          <w:lang w:eastAsia="ru-RU"/>
        </w:rPr>
        <w:t>строительства,</w:t>
      </w:r>
    </w:p>
    <w:p w14:paraId="27F1356D" w14:textId="77777777" w:rsidR="00C86A7A" w:rsidRDefault="00C86A7A" w:rsidP="00EA52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жилищно-коммунального хозяйства и архитектуры</w:t>
      </w:r>
    </w:p>
    <w:p w14:paraId="6B9B5011" w14:textId="77777777" w:rsidR="000A4BA2" w:rsidRPr="000A4BA2" w:rsidRDefault="000A4BA2" w:rsidP="00EA52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4BA2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0A4BA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405B823A" w14:textId="77777777" w:rsidR="000A4BA2" w:rsidRPr="000A4BA2" w:rsidRDefault="000A4BA2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4BA2">
        <w:rPr>
          <w:rFonts w:ascii="Times New Roman" w:hAnsi="Times New Roman"/>
          <w:sz w:val="28"/>
          <w:szCs w:val="28"/>
          <w:lang w:eastAsia="ru-RU"/>
        </w:rPr>
        <w:t xml:space="preserve">Нижегородской области                                                              </w:t>
      </w:r>
      <w:r w:rsidR="00C86A7A">
        <w:rPr>
          <w:rFonts w:ascii="Times New Roman" w:hAnsi="Times New Roman"/>
          <w:sz w:val="28"/>
          <w:szCs w:val="28"/>
          <w:lang w:eastAsia="ru-RU"/>
        </w:rPr>
        <w:t>Н.Н. Маштаков</w:t>
      </w:r>
    </w:p>
    <w:sectPr w:rsidR="000A4BA2" w:rsidRPr="000A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654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4BA2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C7858"/>
    <w:rsid w:val="002D1C80"/>
    <w:rsid w:val="002E7CEC"/>
    <w:rsid w:val="002F39F9"/>
    <w:rsid w:val="003029D1"/>
    <w:rsid w:val="00305450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3455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B6DAB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97F2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5C1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5364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86A7A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E5E76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0B6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36D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4ECF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55EF"/>
  <w15:docId w15:val="{D57E688F-E644-4099-98A9-98D6AAD4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</dc:creator>
  <cp:keywords/>
  <dc:description/>
  <cp:lastModifiedBy>Grant</cp:lastModifiedBy>
  <cp:revision>28</cp:revision>
  <cp:lastPrinted>2024-12-27T12:43:00Z</cp:lastPrinted>
  <dcterms:created xsi:type="dcterms:W3CDTF">2016-05-26T11:49:00Z</dcterms:created>
  <dcterms:modified xsi:type="dcterms:W3CDTF">2024-12-27T12:43:00Z</dcterms:modified>
</cp:coreProperties>
</file>