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7"/>
        <w:jc w:val="center"/>
      </w:pPr>
      <w:r>
        <w:rPr>
          <w:b/>
          <w:bCs/>
          <w:spacing w:val="20"/>
          <w:szCs w:val="28"/>
          <w:highlight w:val="white"/>
        </w:rPr>
        <w:t xml:space="preserve">Администрация Богородского муниципального округа</w:t>
      </w:r>
      <w:r/>
    </w:p>
    <w:p>
      <w:pPr>
        <w:pStyle w:val="767"/>
        <w:jc w:val="center"/>
      </w:pPr>
      <w:r>
        <w:rPr>
          <w:b/>
          <w:bCs/>
          <w:spacing w:val="20"/>
          <w:szCs w:val="28"/>
          <w:highlight w:val="white"/>
        </w:rPr>
        <w:t xml:space="preserve">Нижегородской области</w:t>
      </w:r>
      <w:r/>
    </w:p>
    <w:p>
      <w:pPr>
        <w:pStyle w:val="767"/>
        <w:jc w:val="center"/>
      </w:pPr>
      <w:r/>
      <w:r/>
    </w:p>
    <w:p>
      <w:pPr>
        <w:pStyle w:val="767"/>
        <w:jc w:val="center"/>
        <w:rPr>
          <w:b/>
          <w:bCs/>
          <w:spacing w:val="80"/>
          <w:sz w:val="48"/>
          <w:szCs w:val="48"/>
        </w:rPr>
      </w:pPr>
      <w:r>
        <w:rPr>
          <w:b/>
          <w:bCs/>
          <w:spacing w:val="80"/>
          <w:sz w:val="48"/>
          <w:szCs w:val="48"/>
          <w:highlight w:val="white"/>
        </w:rPr>
        <w:t xml:space="preserve">ПОСТАНОВЛЕНИЕ</w:t>
      </w:r>
      <w:r>
        <w:rPr>
          <w:b/>
          <w:bCs/>
          <w:spacing w:val="80"/>
          <w:sz w:val="48"/>
          <w:szCs w:val="48"/>
        </w:rPr>
      </w:r>
      <w:r/>
    </w:p>
    <w:p>
      <w:pPr>
        <w:pStyle w:val="767"/>
        <w:jc w:val="center"/>
        <w:rPr>
          <w:b/>
          <w:bCs/>
          <w:spacing w:val="80"/>
          <w:szCs w:val="28"/>
        </w:rPr>
      </w:pPr>
      <w:r>
        <w:rPr>
          <w:b/>
          <w:bCs/>
          <w:spacing w:val="80"/>
          <w:szCs w:val="28"/>
        </w:rPr>
      </w:r>
      <w:r/>
    </w:p>
    <w:p>
      <w:pPr>
        <w:pStyle w:val="767"/>
        <w:jc w:val="center"/>
        <w:rPr>
          <w:b/>
          <w:bCs/>
          <w:spacing w:val="80"/>
          <w:szCs w:val="28"/>
        </w:rPr>
      </w:pPr>
      <w:r>
        <w:rPr>
          <w:b/>
          <w:bCs/>
          <w:spacing w:val="80"/>
          <w:szCs w:val="28"/>
        </w:rPr>
      </w:r>
      <w:r/>
    </w:p>
    <w:p>
      <w:pPr>
        <w:pStyle w:val="767"/>
        <w:jc w:val="center"/>
        <w:tabs>
          <w:tab w:val="left" w:pos="4606" w:leader="none"/>
        </w:tabs>
      </w:pPr>
      <w:r>
        <w:rPr>
          <w:szCs w:val="28"/>
        </w:rPr>
        <w:t xml:space="preserve">____________</w:t>
      </w:r>
      <w:r>
        <w:rPr>
          <w:szCs w:val="28"/>
          <w:highlight w:val="white"/>
        </w:rPr>
        <w:t xml:space="preserve">                                                                                       № </w:t>
      </w:r>
      <w:r>
        <w:rPr>
          <w:szCs w:val="28"/>
        </w:rPr>
        <w:t xml:space="preserve">________</w:t>
      </w:r>
      <w:r/>
    </w:p>
    <w:p>
      <w:pPr>
        <w:pStyle w:val="976"/>
        <w:jc w:val="center"/>
        <w:spacing w:line="240" w:lineRule="auto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76"/>
        <w:jc w:val="center"/>
        <w:spacing w:line="240" w:lineRule="auto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76"/>
        <w:jc w:val="center"/>
        <w:spacing w:line="240" w:lineRule="auto"/>
        <w:widowControl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внесении изменени</w:t>
      </w:r>
      <w:r>
        <w:rPr>
          <w:b/>
          <w:bCs/>
          <w:sz w:val="28"/>
          <w:szCs w:val="28"/>
          <w:highlight w:val="white"/>
        </w:rPr>
        <w:t xml:space="preserve">й</w:t>
      </w:r>
      <w:r>
        <w:rPr>
          <w:b/>
          <w:bCs/>
          <w:sz w:val="28"/>
          <w:szCs w:val="28"/>
          <w:highlight w:val="white"/>
        </w:rPr>
        <w:t xml:space="preserve"> в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постановление администрации Богородского муниципального округа Нижегородской области от 16.04.2024 № 1785 «</w:t>
      </w:r>
      <w:r>
        <w:rPr>
          <w:b/>
          <w:bCs/>
          <w:sz w:val="28"/>
          <w:szCs w:val="28"/>
          <w:highlight w:val="white"/>
        </w:rPr>
        <w:t xml:space="preserve">Об утверждении порядков на предоставление финансовой поддер</w:t>
      </w:r>
      <w:r>
        <w:rPr>
          <w:b/>
          <w:bCs/>
          <w:sz w:val="28"/>
          <w:szCs w:val="28"/>
          <w:highlight w:val="white"/>
        </w:rPr>
        <w:t xml:space="preserve">жки на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стимулирование увеличения производства картофеля и овощей</w:t>
      </w:r>
      <w:r>
        <w:rPr>
          <w:b/>
          <w:bCs/>
          <w:sz w:val="28"/>
          <w:szCs w:val="28"/>
          <w:highlight w:val="none"/>
        </w:rPr>
        <w:t xml:space="preserve">»</w:t>
      </w:r>
      <w:r/>
    </w:p>
    <w:p>
      <w:pPr>
        <w:pStyle w:val="767"/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pStyle w:val="767"/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pStyle w:val="767"/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pStyle w:val="767"/>
        <w:ind w:firstLine="709"/>
        <w:jc w:val="both"/>
      </w:pPr>
      <w:r>
        <w:rPr>
          <w:szCs w:val="28"/>
          <w:highlight w:val="white"/>
        </w:rPr>
        <w:t xml:space="preserve">В соответствии </w:t>
      </w:r>
      <w:r>
        <w:rPr>
          <w:szCs w:val="28"/>
        </w:rPr>
        <w:t xml:space="preserve">с пунктом 2 статьи 78.5</w:t>
      </w:r>
      <w:r>
        <w:rPr>
          <w:szCs w:val="28"/>
          <w:highlight w:val="white"/>
        </w:rPr>
        <w:t xml:space="preserve"> Бюджетного ко</w:t>
      </w:r>
      <w:r>
        <w:rPr>
          <w:szCs w:val="28"/>
          <w:highlight w:val="white"/>
        </w:rPr>
        <w:t xml:space="preserve">декса Российской Федерации,</w:t>
      </w:r>
      <w:r>
        <w:rPr>
          <w:bCs/>
          <w:color w:val="000000"/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в целях реализации мероприятий муниципальной программы «Развитие агропромышленного комплекса Богородского муниципального </w:t>
      </w:r>
      <w:r>
        <w:rPr>
          <w:highlight w:val="white"/>
        </w:rPr>
        <w:t xml:space="preserve">округа Нижег</w:t>
      </w:r>
      <w:r>
        <w:rPr>
          <w:highlight w:val="white"/>
        </w:rPr>
        <w:t xml:space="preserve">ородской области», утвержденной постановлением администрации Богородского муниципального района Нижегородской области от 24.12.2020 № 2247, администрация Богородского муниципал</w:t>
      </w:r>
      <w:r>
        <w:rPr>
          <w:highlight w:val="white"/>
        </w:rPr>
        <w:t xml:space="preserve">ьного округа Нижегородской области </w:t>
      </w:r>
      <w:r>
        <w:rPr>
          <w:b/>
          <w:bCs/>
          <w:highlight w:val="white"/>
        </w:rPr>
        <w:t xml:space="preserve">п о с т а н о в л я е т:</w:t>
      </w:r>
      <w:r/>
    </w:p>
    <w:p>
      <w:pPr>
        <w:ind w:firstLine="709"/>
        <w:jc w:val="both"/>
        <w:rPr>
          <w:highlight w:val="white"/>
          <w14:ligatures w14:val="none"/>
        </w:rPr>
      </w:pPr>
      <w:r>
        <w:t xml:space="preserve">1. </w:t>
      </w:r>
      <w:r>
        <w:rPr>
          <w:highlight w:val="white"/>
        </w:rPr>
        <w:t xml:space="preserve">Внести </w:t>
      </w:r>
      <w:r>
        <w:rPr>
          <w:highlight w:val="white"/>
        </w:rPr>
        <w:t xml:space="preserve">в </w:t>
      </w:r>
      <w:r>
        <w:rPr>
          <w:highlight w:val="white"/>
        </w:rPr>
        <w:t xml:space="preserve">постановление администрации Богородского муниципального округа Нижегородской области от 16.04.2024 № 1785 «</w:t>
      </w:r>
      <w:r>
        <w:rPr>
          <w:highlight w:val="white"/>
        </w:rPr>
        <w:t xml:space="preserve">Об утверждении порядков на предоставление финансовой поддер</w:t>
      </w:r>
      <w:r>
        <w:rPr>
          <w:highlight w:val="white"/>
        </w:rPr>
        <w:t xml:space="preserve">жки на</w:t>
      </w:r>
      <w:r>
        <w:rPr>
          <w:highlight w:val="white"/>
        </w:rPr>
        <w:t xml:space="preserve"> </w:t>
      </w:r>
      <w:r>
        <w:rPr>
          <w:highlight w:val="white"/>
        </w:rPr>
        <w:t xml:space="preserve">стимулирование увеличения производства картофеля и овощей</w:t>
      </w:r>
      <w:r>
        <w:rPr>
          <w:highlight w:val="white"/>
        </w:rPr>
        <w:t xml:space="preserve">»</w:t>
      </w:r>
      <w:r>
        <w:rPr>
          <w:highlight w:val="white"/>
        </w:rPr>
        <w:t xml:space="preserve">,</w:t>
      </w:r>
      <w:r>
        <w:rPr>
          <w:highlight w:val="white"/>
        </w:rPr>
        <w:t xml:space="preserve"> изменения: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 1.1. П</w:t>
      </w:r>
      <w:r>
        <w:rPr>
          <w:highlight w:val="white"/>
        </w:rPr>
        <w:t xml:space="preserve">ункт</w:t>
      </w:r>
      <w:r>
        <w:rPr>
          <w:highlight w:val="white"/>
        </w:rPr>
        <w:t xml:space="preserve"> 1 дополнить абзацем следующего содержания:</w:t>
      </w:r>
      <w:r>
        <w:rPr>
          <w:highlight w:val="white"/>
        </w:rPr>
      </w:r>
      <w:r/>
    </w:p>
    <w:p>
      <w:pPr>
        <w:ind w:firstLine="709"/>
        <w:jc w:val="both"/>
        <w:rPr>
          <w:highlight w:val="none"/>
          <w14:ligatures w14:val="none"/>
        </w:rPr>
      </w:pPr>
      <w:r>
        <w:rPr>
          <w:highlight w:val="white"/>
        </w:rPr>
        <w:t xml:space="preserve">« -</w:t>
      </w:r>
      <w:r>
        <w:rPr>
          <w:highlight w:val="white"/>
        </w:rPr>
        <w:t xml:space="preserve"> Порядок </w:t>
      </w:r>
      <w:r>
        <w:rPr>
          <w:highlight w:val="white"/>
        </w:rPr>
        <w:t xml:space="preserve">предоставления субсидий</w:t>
      </w:r>
      <w:r>
        <w:rPr>
          <w:highlight w:val="white"/>
        </w:rPr>
        <w:t xml:space="preserve"> </w:t>
      </w:r>
      <w:r>
        <w:rPr>
          <w:highlight w:val="white"/>
        </w:rPr>
        <w:t xml:space="preserve">на </w:t>
      </w:r>
      <w:r>
        <w:rPr>
          <w:highlight w:val="white"/>
        </w:rPr>
        <w:t xml:space="preserve">в</w:t>
      </w:r>
      <w:r>
        <w:rPr>
          <w:highlight w:val="white"/>
        </w:rPr>
        <w:t xml:space="preserve">о</w:t>
      </w:r>
      <w:r>
        <w:rPr>
          <w:highlight w:val="white"/>
        </w:rPr>
        <w:t xml:space="preserve">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с</w:t>
      </w:r>
      <w:r>
        <w:rPr>
          <w:szCs w:val="28"/>
          <w:highlight w:val="white"/>
        </w:rPr>
        <w:t xml:space="preserve">огласно приложению 3 к настоящему постановлению</w:t>
      </w:r>
      <w:r>
        <w:rPr>
          <w:highlight w:val="none"/>
        </w:rPr>
        <w:t xml:space="preserve">.».</w:t>
      </w:r>
      <w:r>
        <w:rPr>
          <w:highlight w:val="white"/>
          <w14:ligatures w14:val="none"/>
        </w:rPr>
      </w:r>
      <w:r/>
    </w:p>
    <w:p>
      <w:pPr>
        <w:ind w:firstLine="709"/>
        <w:jc w:val="both"/>
        <w:rPr>
          <w:highlight w:val="white"/>
          <w14:ligatures w14:val="none"/>
        </w:rPr>
      </w:pPr>
      <w:r>
        <w:rPr>
          <w:highlight w:val="none"/>
        </w:rPr>
        <w:t xml:space="preserve">1.2. Дополнить приложением 3 согласно приложения 2 к настоящему постановлению.</w:t>
      </w:r>
      <w:r>
        <w:rPr>
          <w:highlight w:val="none"/>
        </w:rPr>
      </w:r>
      <w:r/>
    </w:p>
    <w:p>
      <w:pPr>
        <w:pStyle w:val="767"/>
        <w:ind w:firstLine="709"/>
        <w:jc w:val="both"/>
        <w:widowControl w:val="off"/>
        <w:rPr>
          <w:szCs w:val="28"/>
        </w:rPr>
      </w:pPr>
      <w:r>
        <w:t xml:space="preserve">2. </w:t>
      </w:r>
      <w:r>
        <w:rPr>
          <w:szCs w:val="28"/>
        </w:rPr>
        <w:t xml:space="preserve">Опубликовать настоящее постановление в сетевом издании «Богородская газета».</w:t>
      </w:r>
      <w:r>
        <w:rPr>
          <w:szCs w:val="28"/>
        </w:rPr>
      </w:r>
      <w:r/>
    </w:p>
    <w:p>
      <w:pPr>
        <w:pStyle w:val="767"/>
        <w:ind w:firstLine="709"/>
        <w:jc w:val="both"/>
        <w:rPr>
          <w:szCs w:val="28"/>
          <w:highlight w:val="white"/>
        </w:rPr>
      </w:pPr>
      <w:r>
        <w:rPr>
          <w:szCs w:val="28"/>
        </w:rPr>
        <w:t xml:space="preserve">3</w:t>
      </w:r>
      <w:r>
        <w:rPr>
          <w:szCs w:val="28"/>
          <w:highlight w:val="white"/>
        </w:rPr>
        <w:t xml:space="preserve">. Контроль исполнения настоящего постановления возло</w:t>
      </w:r>
      <w:r>
        <w:rPr>
          <w:szCs w:val="28"/>
          <w:highlight w:val="white"/>
        </w:rPr>
        <w:t xml:space="preserve">жить на начальника управления сельского хозяйства администрации Богородского муниципального округа Нижегородской области Окуневу В.А.</w:t>
      </w:r>
      <w:r>
        <w:rPr>
          <w:szCs w:val="28"/>
          <w:highlight w:val="white"/>
        </w:rPr>
      </w:r>
      <w:r/>
    </w:p>
    <w:p>
      <w:pPr>
        <w:pStyle w:val="767"/>
        <w:ind w:left="360" w:firstLine="360"/>
      </w:pPr>
      <w:r/>
      <w:r/>
    </w:p>
    <w:p>
      <w:pPr>
        <w:pStyle w:val="767"/>
        <w:ind w:left="360" w:firstLine="360"/>
      </w:pPr>
      <w:r/>
      <w:r/>
    </w:p>
    <w:p>
      <w:pPr>
        <w:pStyle w:val="767"/>
        <w:ind w:left="360" w:firstLine="360"/>
      </w:pPr>
      <w:r/>
      <w:r/>
    </w:p>
    <w:p>
      <w:pPr>
        <w:pStyle w:val="767"/>
        <w:jc w:val="both"/>
      </w:pPr>
      <w:r>
        <w:rPr>
          <w:szCs w:val="28"/>
          <w:highlight w:val="white"/>
        </w:rPr>
        <w:t xml:space="preserve">Глава местного самоуправления       </w:t>
      </w:r>
      <w:r>
        <w:rPr>
          <w:szCs w:val="28"/>
          <w:highlight w:val="white"/>
          <w:lang w:val="en-US"/>
        </w:rPr>
        <w:t xml:space="preserve">     </w:t>
      </w:r>
      <w:r>
        <w:rPr>
          <w:szCs w:val="28"/>
          <w:highlight w:val="white"/>
        </w:rPr>
        <w:t xml:space="preserve">                                        А.Н.Коротков</w:t>
      </w:r>
      <w:r/>
    </w:p>
    <w:p>
      <w:pPr>
        <w:pStyle w:val="767"/>
        <w:jc w:val="both"/>
      </w:pPr>
      <w:r/>
      <w:r/>
    </w:p>
    <w:p>
      <w:pPr>
        <w:pStyle w:val="767"/>
        <w:jc w:val="both"/>
      </w:pPr>
      <w:r/>
      <w:r/>
    </w:p>
    <w:p>
      <w:pPr>
        <w:pStyle w:val="767"/>
        <w:jc w:val="both"/>
      </w:pPr>
      <w:r/>
      <w:r/>
    </w:p>
    <w:p>
      <w:pPr>
        <w:pStyle w:val="767"/>
        <w:jc w:val="both"/>
      </w:pPr>
      <w:r/>
      <w:r/>
    </w:p>
    <w:p>
      <w:pPr>
        <w:pStyle w:val="767"/>
        <w:jc w:val="both"/>
      </w:pPr>
      <w:r>
        <w:rPr>
          <w:sz w:val="24"/>
          <w:szCs w:val="24"/>
          <w:highlight w:val="white"/>
        </w:rPr>
        <w:t xml:space="preserve">В.А.Окунева </w:t>
      </w:r>
      <w:r/>
    </w:p>
    <w:p>
      <w:pPr>
        <w:pStyle w:val="7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2-12-07</w:t>
      </w:r>
      <w:r>
        <w:rPr>
          <w:sz w:val="24"/>
          <w:szCs w:val="24"/>
        </w:rPr>
      </w:r>
      <w:r/>
    </w:p>
    <w:p>
      <w:pPr>
        <w:pStyle w:val="767"/>
        <w:ind w:left="-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67"/>
        <w:ind w:left="-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67"/>
        <w:ind w:left="-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67"/>
        <w:ind w:left="-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67"/>
        <w:ind w:left="-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67"/>
        <w:ind w:left="-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67"/>
        <w:ind w:left="-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67"/>
        <w:ind w:left="-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67"/>
        <w:ind w:left="-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67"/>
        <w:ind w:left="-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67"/>
        <w:ind w:left="-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67"/>
        <w:ind w:left="-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67"/>
        <w:ind w:left="-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67"/>
        <w:ind w:left="-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67"/>
        <w:ind w:left="-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/>
    </w:p>
    <w:p>
      <w:pPr>
        <w:pStyle w:val="767"/>
      </w:pPr>
      <w:r/>
      <w:r/>
    </w:p>
    <w:p>
      <w:pPr>
        <w:pStyle w:val="767"/>
      </w:pPr>
      <w:r/>
      <w:r/>
    </w:p>
    <w:p>
      <w:pPr>
        <w:pStyle w:val="980"/>
      </w:pPr>
      <w:r>
        <w:rPr>
          <w:highlight w:val="white"/>
        </w:rPr>
        <w:t xml:space="preserve">СОГЛАСОВАНО:</w:t>
      </w:r>
      <w:r/>
    </w:p>
    <w:tbl>
      <w:tblPr>
        <w:tblW w:w="99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73"/>
        <w:gridCol w:w="2427"/>
        <w:gridCol w:w="1980"/>
        <w:gridCol w:w="16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3" w:type="dxa"/>
            <w:vAlign w:val="top"/>
            <w:textDirection w:val="lrTb"/>
            <w:noWrap w:val="false"/>
          </w:tcPr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Должность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Ф.И.О.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Подпись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Дата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3" w:type="dxa"/>
            <w:vAlign w:val="top"/>
            <w:vMerge w:val="restart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Первый заместитель</w:t>
            </w:r>
            <w:r>
              <w:rPr>
                <w:sz w:val="24"/>
                <w:szCs w:val="24"/>
                <w:highlight w:val="white"/>
              </w:rPr>
              <w:t xml:space="preserve"> главы администрации Богородского муниципального округа Нижегородской области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vAlign w:val="center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А.Б.Захаров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top"/>
            <w:vMerge w:val="restart"/>
            <w:textDirection w:val="lrTb"/>
            <w:noWrap w:val="false"/>
          </w:tcPr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</w:t>
            </w:r>
            <w:r>
              <w:rPr>
                <w:sz w:val="24"/>
                <w:szCs w:val="24"/>
                <w:highlight w:val="white"/>
              </w:rPr>
              <w:t xml:space="preserve"> - начальник Финансового управления администрации Богородского муниципального округа Нижегородской области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С.А.Солуянова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709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709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3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Начальник правового управления администрации Богородского муниципального округа Нижегородской области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vAlign w:val="center"/>
            <w:textDirection w:val="lrTb"/>
            <w:noWrap w:val="false"/>
          </w:tcPr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О.С.Мельникова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</w:tbl>
    <w:p>
      <w:pPr>
        <w:pStyle w:val="767"/>
        <w:ind w:right="6691"/>
      </w:pPr>
      <w:r/>
      <w:r/>
    </w:p>
    <w:p>
      <w:pPr>
        <w:pStyle w:val="767"/>
        <w:ind w:right="-2"/>
      </w:pPr>
      <w:r>
        <w:rPr>
          <w:sz w:val="24"/>
          <w:szCs w:val="24"/>
          <w:highlight w:val="white"/>
        </w:rPr>
        <w:t xml:space="preserve">Размещение проекта муниципального правового акта на сайте администрации округа:</w:t>
      </w:r>
      <w:r/>
    </w:p>
    <w:tbl>
      <w:tblPr>
        <w:tblW w:w="993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4"/>
        <w:gridCol w:w="1530"/>
        <w:gridCol w:w="1536"/>
        <w:gridCol w:w="2107"/>
        <w:gridCol w:w="220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textDirection w:val="lrTb"/>
            <w:noWrap w:val="false"/>
          </w:tcPr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Цель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767"/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Дата </w:t>
            </w:r>
            <w:r/>
          </w:p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начала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vAlign w:val="top"/>
            <w:textDirection w:val="lrTb"/>
            <w:noWrap w:val="false"/>
          </w:tcPr>
          <w:p>
            <w:pPr>
              <w:pStyle w:val="767"/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Дата </w:t>
            </w:r>
            <w:r/>
          </w:p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окончания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7" w:type="dxa"/>
            <w:vAlign w:val="top"/>
            <w:textDirection w:val="lrTb"/>
            <w:noWrap w:val="false"/>
          </w:tcPr>
          <w:p>
            <w:pPr>
              <w:pStyle w:val="767"/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Ф.И.О. </w:t>
            </w:r>
            <w:r/>
          </w:p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ответственного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3" w:type="dxa"/>
            <w:vAlign w:val="top"/>
            <w:textDirection w:val="lrTb"/>
            <w:noWrap w:val="false"/>
          </w:tcPr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Подпись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vMerge w:val="restart"/>
            <w:textDirection w:val="lrTb"/>
            <w:noWrap w:val="false"/>
          </w:tcPr>
          <w:p>
            <w:pPr>
              <w:pStyle w:val="767"/>
            </w:pPr>
            <w:r>
              <w:rPr>
                <w:sz w:val="24"/>
                <w:szCs w:val="24"/>
                <w:highlight w:val="white"/>
              </w:rPr>
              <w:t xml:space="preserve">Проведение ОРВ</w:t>
            </w:r>
            <w:r/>
          </w:p>
          <w:p>
            <w:pPr>
              <w:pStyle w:val="76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76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7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3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center"/>
            <w:vMerge w:val="continue"/>
            <w:textDirection w:val="lrTb"/>
            <w:noWrap w:val="false"/>
          </w:tcPr>
          <w:p>
            <w:pPr>
              <w:pStyle w:val="767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6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требуется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7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 Окунева В.А.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3" w:type="dxa"/>
            <w:vAlign w:val="top"/>
            <w:textDirection w:val="lrTb"/>
            <w:noWrap w:val="false"/>
          </w:tcPr>
          <w:p>
            <w:pPr>
              <w:pStyle w:val="767"/>
            </w:pPr>
            <w:r/>
            <w:r/>
          </w:p>
          <w:p>
            <w:pPr>
              <w:pStyle w:val="76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top"/>
            <w:vMerge w:val="restart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Обеспечени</w:t>
            </w:r>
            <w:r>
              <w:rPr>
                <w:sz w:val="24"/>
                <w:szCs w:val="24"/>
                <w:highlight w:val="white"/>
              </w:rPr>
              <w:t xml:space="preserve">е соответствия требованиям антимонопольного законодательства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7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3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Align w:val="center"/>
            <w:vMerge w:val="continue"/>
            <w:textDirection w:val="lrTb"/>
            <w:noWrap w:val="false"/>
          </w:tcPr>
          <w:p>
            <w:pPr>
              <w:pStyle w:val="767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6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требуется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7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Окунева В.А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3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</w:tbl>
    <w:p>
      <w:pPr>
        <w:pStyle w:val="767"/>
        <w:ind w:right="6691"/>
      </w:pPr>
      <w:r/>
      <w:r/>
    </w:p>
    <w:p>
      <w:pPr>
        <w:pStyle w:val="767"/>
        <w:ind w:right="5754"/>
        <w:tabs>
          <w:tab w:val="left" w:pos="3240" w:leader="none"/>
        </w:tabs>
      </w:pPr>
      <w:r>
        <w:rPr>
          <w:sz w:val="24"/>
          <w:szCs w:val="24"/>
          <w:highlight w:val="white"/>
        </w:rPr>
        <w:t xml:space="preserve">Расписка в получении:</w:t>
      </w:r>
      <w:r/>
    </w:p>
    <w:tbl>
      <w:tblPr>
        <w:tblW w:w="99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73"/>
        <w:gridCol w:w="2427"/>
        <w:gridCol w:w="1980"/>
        <w:gridCol w:w="16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3" w:type="dxa"/>
            <w:vAlign w:val="top"/>
            <w:textDirection w:val="lrTb"/>
            <w:noWrap w:val="false"/>
          </w:tcPr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Структурное подразделение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Ф.И.О.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Подпись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Дата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3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7" w:type="dxa"/>
            <w:vAlign w:val="top"/>
            <w:textDirection w:val="lrTb"/>
            <w:noWrap w:val="false"/>
          </w:tcPr>
          <w:p>
            <w:pPr>
              <w:pStyle w:val="767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76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</w:tbl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79"/>
        <w:ind w:left="4962"/>
        <w:jc w:val="center"/>
      </w:pPr>
      <w:r>
        <w:rPr>
          <w:rFonts w:ascii="Times New Roman" w:hAnsi="Times New Roman"/>
          <w:sz w:val="28"/>
          <w:szCs w:val="28"/>
          <w:highlight w:val="none"/>
        </w:rPr>
        <w:t xml:space="preserve">Приложение 1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79"/>
        <w:ind w:left="4962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к </w:t>
      </w:r>
      <w:r>
        <w:rPr>
          <w:rFonts w:ascii="Times New Roman" w:hAnsi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</w:rPr>
        <w:t xml:space="preserve">остановлению администрации</w:t>
      </w:r>
      <w:r/>
    </w:p>
    <w:p>
      <w:pPr>
        <w:pStyle w:val="979"/>
        <w:ind w:left="4962"/>
        <w:jc w:val="center"/>
      </w:pPr>
      <w:r>
        <w:rPr>
          <w:rFonts w:ascii="Times New Roman" w:hAnsi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городского муниципального</w:t>
      </w:r>
      <w:r/>
    </w:p>
    <w:p>
      <w:pPr>
        <w:pStyle w:val="979"/>
        <w:ind w:left="4962"/>
        <w:jc w:val="center"/>
      </w:pPr>
      <w:r>
        <w:rPr>
          <w:rFonts w:ascii="Times New Roman" w:hAnsi="Times New Roman"/>
          <w:sz w:val="28"/>
          <w:szCs w:val="28"/>
          <w:highlight w:val="white"/>
        </w:rPr>
        <w:t xml:space="preserve">округа Нижегородской области</w:t>
      </w:r>
      <w:r/>
    </w:p>
    <w:p>
      <w:pPr>
        <w:pStyle w:val="979"/>
        <w:ind w:left="4962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/>
          <w:sz w:val="28"/>
          <w:szCs w:val="28"/>
          <w:highlight w:val="white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/>
    </w:p>
    <w:p>
      <w:pPr>
        <w:pStyle w:val="979"/>
        <w:ind w:left="4962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«Приложение 3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79"/>
        <w:ind w:left="4962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УТВЕРЖДЕН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79"/>
        <w:ind w:left="4962"/>
        <w:jc w:val="center"/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Постановлением администрации</w:t>
      </w:r>
      <w:r/>
    </w:p>
    <w:p>
      <w:pPr>
        <w:pStyle w:val="979"/>
        <w:ind w:left="4962"/>
        <w:jc w:val="center"/>
      </w:pPr>
      <w:r>
        <w:rPr>
          <w:rFonts w:ascii="Times New Roman" w:hAnsi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городского муниципального</w:t>
      </w:r>
      <w:r/>
    </w:p>
    <w:p>
      <w:pPr>
        <w:pStyle w:val="979"/>
        <w:ind w:left="4962"/>
        <w:jc w:val="center"/>
      </w:pPr>
      <w:r>
        <w:rPr>
          <w:rFonts w:ascii="Times New Roman" w:hAnsi="Times New Roman"/>
          <w:sz w:val="28"/>
          <w:szCs w:val="28"/>
          <w:highlight w:val="white"/>
        </w:rPr>
        <w:t xml:space="preserve">округа Нижегородской области</w:t>
      </w:r>
      <w:r/>
    </w:p>
    <w:p>
      <w:pPr>
        <w:pStyle w:val="979"/>
        <w:ind w:left="4962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/>
          <w:sz w:val="28"/>
          <w:szCs w:val="28"/>
          <w:highlight w:val="white"/>
        </w:rPr>
        <w:t xml:space="preserve">16.04.2024</w:t>
      </w:r>
      <w:r>
        <w:rPr>
          <w:rFonts w:ascii="Times New Roman" w:hAnsi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/>
          <w:sz w:val="28"/>
          <w:szCs w:val="28"/>
          <w:highlight w:val="white"/>
        </w:rPr>
        <w:t xml:space="preserve">1785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     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79"/>
        <w:ind w:left="4962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76"/>
        <w:jc w:val="center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Style w:val="968"/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Style w:val="968"/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jc w:val="center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Style w:val="968"/>
          <w:rFonts w:ascii="Times New Roman" w:hAnsi="Times New Roman" w:cs="Times New Roman"/>
          <w:b/>
          <w:sz w:val="28"/>
          <w:szCs w:val="28"/>
        </w:rPr>
        <w:t xml:space="preserve">предоставления субсидий</w:t>
      </w:r>
      <w:r>
        <w:rPr>
          <w:rStyle w:val="968"/>
          <w:rFonts w:ascii="Times New Roman" w:hAnsi="Times New Roman" w:cs="Times New Roman"/>
          <w:b/>
          <w:sz w:val="28"/>
          <w:szCs w:val="28"/>
        </w:rPr>
        <w:t xml:space="preserve"> из местного бюджета</w:t>
      </w:r>
      <w:r>
        <w:rPr>
          <w:rStyle w:val="968"/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jc w:val="center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/>
    </w:p>
    <w:p>
      <w:pPr>
        <w:pStyle w:val="966"/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Общими требованиями к нормативным </w:t>
      </w:r>
      <w:r>
        <w:rPr>
          <w:rFonts w:ascii="Times New Roman" w:hAnsi="Times New Roman" w:cs="Times New Roman"/>
          <w:sz w:val="28"/>
          <w:szCs w:val="28"/>
        </w:rPr>
        <w:t xml:space="preserve"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</w:t>
      </w:r>
      <w:r>
        <w:rPr>
          <w:rFonts w:ascii="Times New Roman" w:hAnsi="Times New Roman" w:cs="Times New Roman"/>
          <w:sz w:val="28"/>
          <w:szCs w:val="28"/>
        </w:rPr>
        <w:t xml:space="preserve">цам – производителям товаров, работ, услуги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г. № 1782 (далее – Общие требования),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"https://login.consultant.ru/link/?req=doc&amp;base=LAW&amp;n=397394&amp;dst=100021&amp;field=134&amp;date=26.10.2021"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овощей, являющихся приложением 12</w:t>
      </w:r>
      <w:r>
        <w:rPr>
          <w:rFonts w:ascii="Times New Roman" w:hAnsi="Times New Roman" w:cs="Times New Roman"/>
          <w:sz w:val="28"/>
          <w:szCs w:val="28"/>
        </w:rPr>
        <w:t xml:space="preserve">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 717 (далее - Правила), Законом Н</w:t>
      </w:r>
      <w:r>
        <w:rPr>
          <w:rFonts w:ascii="Times New Roman" w:hAnsi="Times New Roman" w:cs="Times New Roman"/>
          <w:sz w:val="28"/>
          <w:szCs w:val="28"/>
        </w:rPr>
        <w:t xml:space="preserve">ижегородской области от 11 ноября 2005 г. № 176-З «О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производства», Порядком и условиями предоставления субсидий 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</w:t>
      </w:r>
      <w:r>
        <w:rPr>
          <w:rFonts w:ascii="Times New Roman" w:hAnsi="Times New Roman" w:cs="Times New Roman"/>
          <w:sz w:val="28"/>
          <w:szCs w:val="28"/>
        </w:rPr>
        <w:t xml:space="preserve">денными постановлением Правительства Нижегородской области от 15 декабря 2024 г. №1071 (в редакции постановления Правительства Нижегородской области от 8 апреля 2024 г. №5) (далее – Порядок и условия),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рекомендаций Министерства сельского хозяйства и продовольственных ресурсов Нижегородской области (далее – Минсельхозпрод), </w:t>
      </w:r>
      <w:r>
        <w:rPr>
          <w:rFonts w:ascii="Times New Roman" w:hAnsi="Times New Roman" w:cs="Times New Roman"/>
          <w:sz w:val="28"/>
          <w:szCs w:val="28"/>
        </w:rPr>
        <w:t xml:space="preserve">регулирует порядок предоставления из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Богородского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округа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 субсидий на возмещение части затрат на поддержку элитного семеноводства, источником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бюджета и областного бюджета (далее - субсидия), и содержит общие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предоставлении субсидии, условия и порядок предоставления субсидии, требования к отчетности, а также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Понятия, используемые в настоящем Порядке, применяются в значениях, определенных Порядком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условиями и Правилами.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в рамках исполнения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sz w:val="28"/>
          <w:szCs w:val="28"/>
          <w:highlight w:val="white"/>
        </w:rPr>
        <w:t xml:space="preserve">«Развитие агропромышленного к</w:t>
      </w:r>
      <w:r>
        <w:rPr>
          <w:sz w:val="28"/>
          <w:szCs w:val="28"/>
          <w:highlight w:val="white"/>
        </w:rPr>
        <w:t xml:space="preserve">омплекса Богородского муниципального округа Ни</w:t>
      </w:r>
      <w:r>
        <w:rPr>
          <w:sz w:val="28"/>
          <w:szCs w:val="28"/>
          <w:highlight w:val="white"/>
        </w:rPr>
        <w:t xml:space="preserve">жегородской области», </w:t>
      </w:r>
      <w:r>
        <w:rPr>
          <w:sz w:val="28"/>
          <w:szCs w:val="28"/>
          <w:highlight w:val="white"/>
        </w:rPr>
        <w:t xml:space="preserve">утвержденной постановлением администрации Богородского муниципального района Нижегородской области от 24.12.2020 № 2247</w:t>
      </w:r>
      <w:r>
        <w:rPr>
          <w:rFonts w:ascii="Times New Roman" w:hAnsi="Times New Roman" w:cs="Times New Roman"/>
          <w:sz w:val="28"/>
          <w:szCs w:val="28"/>
        </w:rPr>
        <w:t xml:space="preserve">, обеспечива</w:t>
      </w:r>
      <w:r>
        <w:rPr>
          <w:rFonts w:ascii="Times New Roman" w:hAnsi="Times New Roman" w:cs="Times New Roman"/>
          <w:sz w:val="28"/>
          <w:szCs w:val="28"/>
        </w:rPr>
        <w:t xml:space="preserve">ющей достижение значений непосредственных результатов государственной программы Нижегородской области  «Развитие агропромышленного комплекса Нижегородской области», утвержденной постановлением Правительства Нижегородской области от 28 апреля 2014 г. № 280.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Функ</w:t>
      </w:r>
      <w:r>
        <w:rPr>
          <w:rFonts w:ascii="Times New Roman" w:hAnsi="Times New Roman" w:cs="Times New Roman"/>
          <w:sz w:val="28"/>
          <w:szCs w:val="28"/>
        </w:rPr>
        <w:t xml:space="preserve">ции главного распорядителя бюджетных средств осуществляет </w:t>
      </w:r>
      <w:r>
        <w:rPr>
          <w:sz w:val="28"/>
          <w:szCs w:val="28"/>
          <w:highlight w:val="white"/>
        </w:rPr>
        <w:t xml:space="preserve">Управление с</w:t>
      </w:r>
      <w:r>
        <w:rPr>
          <w:sz w:val="28"/>
          <w:szCs w:val="28"/>
          <w:highlight w:val="white"/>
        </w:rPr>
        <w:t xml:space="preserve">ельского хозяйства администрации Богородского </w:t>
      </w:r>
      <w:r>
        <w:rPr>
          <w:sz w:val="28"/>
          <w:szCs w:val="28"/>
          <w:highlight w:val="white"/>
        </w:rPr>
        <w:t xml:space="preserve">муниципального округа </w:t>
      </w:r>
      <w:r>
        <w:rPr>
          <w:sz w:val="28"/>
          <w:szCs w:val="28"/>
          <w:highlight w:val="white"/>
        </w:rPr>
        <w:t xml:space="preserve">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до которого в соответствии с бюджетным законодательством Российской Федерации как по</w:t>
      </w:r>
      <w:r>
        <w:rPr>
          <w:rFonts w:ascii="Times New Roman" w:hAnsi="Times New Roman" w:cs="Times New Roman"/>
          <w:sz w:val="28"/>
          <w:szCs w:val="28"/>
        </w:rPr>
        <w:t xml:space="preserve">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(далее соответственно – Главный распорядитель, лимиты бюджетных обязательств на предоставление субсидии).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szCs w:val="28"/>
        </w:rPr>
        <w:t xml:space="preserve">Получатели субсидии в соответствии с пунктом 2 статьи 78.5 Бюджетного кодек</w:t>
      </w:r>
      <w:r>
        <w:rPr>
          <w:szCs w:val="28"/>
        </w:rPr>
        <w:t xml:space="preserve">са Российской Федерации определены по итога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отбора проектов поддержки элитного семеноводства для предоставления субсидий на 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полномочий по стимулированию увеличения производства картофеля и овощей</w:t>
      </w:r>
      <w:r>
        <w:rPr>
          <w:rFonts w:ascii="Times New Roman" w:hAnsi="Times New Roman" w:cs="Times New Roman"/>
          <w:sz w:val="28"/>
          <w:szCs w:val="28"/>
        </w:rPr>
        <w:t xml:space="preserve">, прове</w:t>
      </w:r>
      <w:r>
        <w:rPr>
          <w:szCs w:val="28"/>
        </w:rPr>
        <w:t xml:space="preserve">денного Минсельхозпродом, в установленном им порядке, и, принятым на основании итогов отбора, постановлением главы местного самоуп</w:t>
      </w:r>
      <w:r>
        <w:rPr>
          <w:szCs w:val="28"/>
        </w:rPr>
        <w:t xml:space="preserve">равления Богородского муниципального округа Ни</w:t>
      </w:r>
      <w:r>
        <w:rPr>
          <w:szCs w:val="28"/>
        </w:rPr>
        <w:t xml:space="preserve">жегородской облас</w:t>
      </w:r>
      <w:r>
        <w:rPr>
          <w:szCs w:val="28"/>
          <w:highlight w:val="white"/>
        </w:rPr>
        <w:t xml:space="preserve">ти от_________________</w:t>
      </w:r>
      <w:r>
        <w:rPr>
          <w:szCs w:val="28"/>
          <w:highlight w:val="white"/>
        </w:rPr>
        <w:t xml:space="preserve">  </w:t>
      </w:r>
      <w:r>
        <w:rPr>
          <w:szCs w:val="28"/>
          <w:highlight w:val="white"/>
        </w:rPr>
        <w:t xml:space="preserve">№______</w:t>
      </w:r>
      <w:r>
        <w:rPr>
          <w:szCs w:val="28"/>
          <w:highlight w:val="white"/>
        </w:rPr>
        <w:t xml:space="preserve">,</w:t>
      </w:r>
      <w:r>
        <w:rPr>
          <w:szCs w:val="28"/>
        </w:rPr>
        <w:t xml:space="preserve"> (далее соответственно – получатели субсидии, Решение):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(наименование получателя субсидии, ИНН);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_______________________ 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_______________________.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Способом предоставления субсидии является возмещение затрат.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Информация о субсидии размещается на едином</w:t>
      </w:r>
      <w:r>
        <w:rPr>
          <w:rFonts w:ascii="Times New Roman" w:hAnsi="Times New Roman" w:cs="Times New Roman"/>
          <w:sz w:val="28"/>
          <w:szCs w:val="28"/>
        </w:rPr>
        <w:t xml:space="preserve">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соответствии с порядком размещения такой информации, установленным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Условия и порядок предоставления субсидии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на основании соглашения, заключаемого между Главным распорядителем и получателем субсидии (далее – соглашение) в течение 10 рабочих дней со дня, следующего за днем составления реестра получателей субсидии.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Требования к получателю субсидии, которым он должен соответствовать на даты подачи заявления о предоставлении субсидии и заключения соглашения: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получатель субсидии не является иностранным юридическим лицом, в том числе м</w:t>
      </w:r>
      <w:r>
        <w:rPr>
          <w:rFonts w:ascii="Times New Roman" w:hAnsi="Times New Roman" w:cs="Times New Roman"/>
          <w:sz w:val="28"/>
          <w:szCs w:val="28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cs="Times New Roman"/>
          <w:sz w:val="28"/>
          <w:szCs w:val="28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получатель субсидии 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получатель субсидии не должен получать средства из бюджета бюджетной системы Российской Федерации, из которого пла</w:t>
      </w:r>
      <w:r>
        <w:rPr>
          <w:rFonts w:ascii="Times New Roman" w:hAnsi="Times New Roman" w:cs="Times New Roman"/>
          <w:sz w:val="28"/>
          <w:szCs w:val="28"/>
        </w:rPr>
        <w:t xml:space="preserve">нируется предоставление субсидии, в соответствии с настоящим Порядком, на основании иных нормативных правовых актов на цели, установленные пунктом 1.1 настоящего Порядка, в соответствии с направлением затрат, предусмотренным пунктом 2.8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у получателя субсидии отсутствует просроченная задолженность по возврату в местный бюджет иных субсидий, бюджетных инвестиций, а также иная просроченная (неурегулированна</w:t>
      </w:r>
      <w:r>
        <w:rPr>
          <w:rFonts w:ascii="Times New Roman" w:hAnsi="Times New Roman" w:cs="Times New Roman"/>
          <w:sz w:val="28"/>
          <w:szCs w:val="28"/>
        </w:rPr>
        <w:t xml:space="preserve">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настоящим Порядком (за исключением случаев, установленных администрацией муниципального образования);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иные требования: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получатель субсидии, являющийся юридическом лицом, не находится в процессе ликвидации, в отношении него не введена процедура банкротства</w:t>
      </w:r>
      <w:r>
        <w:rPr>
          <w:rFonts w:ascii="Times New Roman" w:hAnsi="Times New Roman" w:cs="Times New Roman"/>
          <w:sz w:val="28"/>
          <w:szCs w:val="28"/>
        </w:rPr>
        <w:t xml:space="preserve">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получателя субсидии не выявлены факты нарушения условий, установленных при получении бюджетных средств, и их нецелевого использования (не распространяется на получателей субсидии, устранивших нарушения либо возвративших средства в соответствующий бюджет);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отношении получателя субсидии - индивидуального предпринимателя не введена процедура банкротства;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contextualSpacing/>
        <w:ind w:firstLine="70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получатель субсидии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Соответствие требованиям, установленным в подпунктах 2.2.1 – 2.2.6, подпунктами «а» - «в» подпункта 2.2.7 пункта 2.2 настоящего Порядка, получатель субсидии подтверждает в заявлении на получение субсидии.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в срок, установленный пунктом 2.6 настоящего Порядка, осуществляет проверку получателя субсидии на соответствие требованиям, установленным в подпунктах 2.2.1 – 2.2.7 пункта 2.2 насто</w:t>
      </w:r>
      <w:r>
        <w:rPr>
          <w:rFonts w:ascii="Times New Roman" w:hAnsi="Times New Roman" w:cs="Times New Roman"/>
          <w:sz w:val="28"/>
          <w:szCs w:val="28"/>
        </w:rPr>
        <w:t xml:space="preserve">ящего Порядка, на основании документов, предусмотренных пунктом 2.4 настоящего Порядка, а также с использованием государственных информационных систем (при наличии технической возможности). В случае отсутствия технической возможности Главный распорядитель </w:t>
      </w:r>
      <w:r>
        <w:rPr>
          <w:rFonts w:ascii="Times New Roman" w:hAnsi="Times New Roman" w:cs="Times New Roman"/>
          <w:sz w:val="28"/>
          <w:szCs w:val="28"/>
        </w:rPr>
        <w:t xml:space="preserve">вправе</w:t>
      </w:r>
      <w:r>
        <w:rPr>
          <w:rFonts w:ascii="Times New Roman" w:hAnsi="Times New Roman" w:cs="Times New Roman"/>
          <w:sz w:val="28"/>
          <w:szCs w:val="28"/>
        </w:rPr>
        <w:t xml:space="preserve"> запросить у получателя субсидии документы,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для подтверждения его соответствия требованиям, установленным в подпунктах 2.2.1 – 2.2.7 пункта 2.2 настоящего Порядка.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Получатель субсидии, указанный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, в срок не позднее 10 календарных дней </w:t>
      </w:r>
      <w:r>
        <w:rPr>
          <w:szCs w:val="28"/>
          <w:highlight w:val="white"/>
        </w:rPr>
        <w:t xml:space="preserve">с даты принятия Решения,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Главному распорядителю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 форме электр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официальном сайте Минсельхозпрода: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доверенность, подтверждающая полномочия лица на подп</w:t>
      </w:r>
      <w:r>
        <w:rPr>
          <w:rFonts w:ascii="Times New Roman" w:hAnsi="Times New Roman" w:cs="Times New Roman"/>
          <w:sz w:val="28"/>
          <w:szCs w:val="28"/>
        </w:rPr>
        <w:t xml:space="preserve">исание заявления (не представляется в случае подписания заявления лицом, имеющем право без доверенности действовать от имени юридического лица, индивидуальным предпринимателем, в соответствии с выпиской из Единого государственного реестра юридических лиц);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субсидии, подписанное руководителем получателя субсидии - юридического лица, индивидуальным предпринимателем, физическим лицом (в случае если заявителем является гражданин, ведущий ли</w:t>
      </w:r>
      <w:r>
        <w:rPr>
          <w:rFonts w:ascii="Times New Roman" w:hAnsi="Times New Roman" w:cs="Times New Roman"/>
          <w:sz w:val="28"/>
          <w:szCs w:val="28"/>
        </w:rPr>
        <w:t xml:space="preserve">чное подсобное хозяйство) или иным лицом, уполномоченным на осуществление указанных действий от имени такого юридического лица (индивидуального предпринимателя, физического лица), по форме, утвержденной Минсельхозпродом,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1) для получателей субсидии,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"https://login.consultant.ru/link/?req=doc&amp;base=RLAW187&amp;n=293332&amp;dst=100613"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подпункте "а" пункта 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Порядка и условий: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расчет размера субсидии по форме, утвержденной Минсельхозпродом;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заверенные получателем субсидии копии сертификатов на семена, прошедшие добровольную сертификацию, или актов апробации (регистрации) посевов и протоколов испытаний семян, удостоверяющих сортовые и посевные качества семян, или актов регистрации;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реестр документов, подтверждающих фактически произведенные затраты, по форме, утвержденной Минсельхозп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родом, с приложением заверенных получателем субсидии копий документов: договоров поставки, товарных накладных (либо универсальных передаточных документов), платежных поручений, документов о списании товарно-материальных ценностей, при использовании собстве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нных материальных ресурсов - актов на их списание (использование) по фактической себестоимости. К реестру документов могут быть приложены бухгалтерские справки, подтверждающие расчет произведенных затрат, составленные на основании предъявленных документов;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отчет об осуществлении получателем субсидии сева семян, затраты на которые подлежат субсидированию, по форме, утвержденной Минсельхозпродом, с приложением актов расхода семян и посадочного материала по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"https://login.consultant.ru/link/?req=doc&amp;base=LAW&amp;n=27937&amp;dst=101244"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форме №СП-13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2) для получателей субсидии,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"https://login.consultant.ru/link/?req=doc&amp;base=RLAW187&amp;n=293332&amp;dst=100614"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подпункте "б" пункта 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Порядка и условий: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расчет размера субсидии по форме, утвержденной Минсельхозпродом;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копия справки о постановке на учет (снятии с учета) физического лица в качестве плательщика налога на профессиональный доход;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выписка из похозяйственной книги, подтверждающая ведение производственной деятельности не менее чем в течение 12 месяцев, предшествующих году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заверенные получателем субсидии копии документов, подтверждающ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их фактически произведенные затраты на посев картофеля и овощных культур, включая гибриды овощных культур (при условии фактической поставки элитных семян): договоров купли-продажи, товарных накладных (либо универсальных передаточных документов), платежных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документов, расписок в получении денежных средств (в случае заключения договоров с физическими лицами), актов приема-передачи, договоров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 выполнении работ (оказании услуг), актов о приемке выполненных работ (оказании услуг), товарных чеков, выписок из банка и иных документов, подтверждающих факт оплаты приобретения элитных семян картофеля и овощных культур, включая гибриды овощных культур;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отчет об осуществлении получателем субсидии сева семян, затраты на приобретение которых подлежат субсидированию, по форме, утвержденной Минсельхозпродом.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Документы, представленные получателем субсидии должны быть исполнены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формам (в случае, если это предусмотрено настоящим Порядком), четко напечатаны и заполнены по всем пунктам, без ошибок, подчисток, приписок, зачеркнутых слов, иных исправлений, повреждений, не позволяющих однозначно истолковать их содержание.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cs="Times New Roman"/>
          <w:sz w:val="28"/>
          <w:szCs w:val="28"/>
        </w:rPr>
        <w:t xml:space="preserve">кументы, представленные получателем субсидии в форме электронного документа, подписываются усиленной квалифицированной электронной подписью руководителя получателя субсидии (индивидуального предпринимателя, физического лица), либо уполномоченного им лица.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несет ответственность за полноту представляемых сведений и соответствие требованиям настоящего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Главный распорядитель в течение 10 рабочих дней со дня, следующего за днем получения документов, предусмотренных пунктом 2.4 настоящего Порядка, рассматривает документы, представленные получателем субсидии, на пред</w:t>
      </w:r>
      <w:r>
        <w:rPr>
          <w:rFonts w:ascii="Times New Roman" w:hAnsi="Times New Roman" w:cs="Times New Roman"/>
          <w:sz w:val="28"/>
          <w:szCs w:val="28"/>
        </w:rPr>
        <w:t xml:space="preserve">мет их соответствия требованиям, установленным настоящим Порядком и по результатам рассмотрения при выявлении оснований для отказа в предоставлении субсидии, указанных в пункте 2.7 настоящего Порядка, принимает решение об отказе в предоставлении субсидии.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субсидии, указанных в пункте 2.7 настоящего Порядка, составляет реестр получателей субсидии, с которыми заключается соглашение (далее – реестр получателей субсидии).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Получатель субсидии вправе устранить причины, послужившие основанием для отказа, и повторно представить документы для получения субсидии не позднее указанного в настоящем пункте срока.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Основания для отказа получателю субсидии в предоставлении субсидии: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установление факта недостоверности представленной получателем субсидии информации;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получателя субсидии требованиям, установленным в пункте 2.2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Порядок расчета размера субсидии.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2.8.1. Расчет размера субсидии осуществляется по ставкам, утверждаемым Минсельхозпродом: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для получателей субсидии,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"https://login.consultant.ru/link/?req=doc&amp;base=RLAW187&amp;n=293332&amp;dst=100613"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подпункте "а" пункта 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Порядка и условий, - на 1 тонну элитных и (или) оригинальных семян картофеля и (или) овощных культур, включая гибриды овощных культур;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для получателей субсидии,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"https://login.consultant.ru/link/?req=doc&amp;base=RLAW187&amp;n=293332&amp;dst=100614"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подпункте "б" пункта 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Порядка и условий, - на 1 гектар посевной площади, засеянной элитными семенами картофеля и овощных культур, включая гибриды овощных культур.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Общий объем субсидии, предоставляемой получателю субсидии, не должен превышать фактические затраты получателя субсидии, на возмещение которых предоставляется субсидия.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Предоставление субсидии осуществляется единовременно.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Источниками финансового обеспечения субсидий являются субвенции, сформированные за счет средств областного бюджета и средств федерального бюджета, предоставленных облас</w:t>
      </w:r>
      <w:r>
        <w:rPr>
          <w:rFonts w:ascii="Times New Roman" w:hAnsi="Times New Roman" w:cs="Times New Roman"/>
          <w:sz w:val="28"/>
          <w:szCs w:val="28"/>
        </w:rPr>
        <w:t xml:space="preserve">тному бюджету в форме субсидий в соответствии с соглашением о предоставлении субсидии из федерального бюджета бюджету субъекта Российской Федерации, с учетом установленного уровня софинансирования расходного обязательства на соответствующий финансовый год.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В случае если общий объем </w:t>
      </w:r>
      <w:r>
        <w:rPr>
          <w:rFonts w:ascii="Times New Roman" w:hAnsi="Times New Roman" w:cs="Times New Roman"/>
          <w:sz w:val="28"/>
          <w:szCs w:val="28"/>
        </w:rPr>
        <w:t xml:space="preserve">потребности в бюджетных ассигнованиях на предоставление субсидии, определенный на основании сведений, представленных получателями, превышает лимиты бюджетных обязательств на предоставление субсидии, то размер субсидии (С) определяется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= Сп x К,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- размер субсидии, рассчитанный в соответствии с пунктом 2.8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- коэффициент бюджетной обеспеченности, определяемый по следующей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= V / Vнач,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- объем лимитов бюджетных обязательств на предоставление субсидии;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Vнач - общий объем потребности в бюджетных ассигнованиях на предоставление субсидии, определенный в соответствии с расчетами субсидий, представленными получателями.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V&gt;Vнач коэффициент К равен 1.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Расчеты, произведенные Главным распорядителем, отражаются в реестрах получателей субсидии при направлении их в финансовый орган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часть субсидии не предоставлена получателям </w:t>
      </w:r>
      <w:r>
        <w:rPr>
          <w:rFonts w:ascii="Times New Roman" w:hAnsi="Times New Roman" w:cs="Times New Roman"/>
          <w:sz w:val="28"/>
          <w:szCs w:val="28"/>
        </w:rPr>
        <w:t xml:space="preserve">субсидии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по основанию, указанному в </w:t>
      </w:r>
      <w:hyperlink r:id="rId11" w:tooltip="https://internet.garant.ru/#/document/409221968/entry/2210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2.10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такие получатели </w:t>
      </w:r>
      <w:r>
        <w:rPr>
          <w:rFonts w:ascii="Times New Roman" w:hAnsi="Times New Roman" w:cs="Times New Roman"/>
          <w:sz w:val="28"/>
          <w:szCs w:val="28"/>
        </w:rPr>
        <w:t xml:space="preserve">субсидии</w:t>
      </w:r>
      <w:r>
        <w:rPr>
          <w:rFonts w:ascii="Times New Roman" w:hAnsi="Times New Roman" w:cs="Times New Roman"/>
          <w:sz w:val="28"/>
          <w:szCs w:val="28"/>
        </w:rPr>
        <w:t xml:space="preserve"> включаются в отдельный реестр получателей субсидии, и при выделении дополнительных бюджетных ассигнований на предоставление субсидии на текущий финансовый год Главный распорядитель </w:t>
      </w:r>
      <w:r>
        <w:rPr>
          <w:rFonts w:ascii="Times New Roman" w:hAnsi="Times New Roman" w:cs="Times New Roman"/>
          <w:sz w:val="28"/>
          <w:szCs w:val="28"/>
        </w:rPr>
        <w:t xml:space="preserve">средств субсидии принимает решение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получателям субсидии части субсидии</w:t>
      </w:r>
      <w:r>
        <w:rPr>
          <w:rFonts w:ascii="Times New Roman" w:hAnsi="Times New Roman" w:cs="Times New Roman"/>
          <w:sz w:val="28"/>
          <w:szCs w:val="28"/>
        </w:rPr>
        <w:t xml:space="preserve">, не предоставленной им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текущем году по основанию, указанному в </w:t>
      </w:r>
      <w:hyperlink r:id="rId12" w:tooltip="https://internet.garant.ru/#/document/409221968/entry/2210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2.10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без повторного представления документов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13" w:tooltip="https://internet.garant.ru/#/document/409221968/entry/2204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2.4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размер части субсидии, подлежащей предоставлению получателю субсидии (Сд), определяется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 = Спд x Кд,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Спд - размер части субсидии, не предоставленной получателю субсидии в текущем финансовом году по основанию, указанному в пункте 2.10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 - коэффициент бюджетной обеспеченности, определяемый по следующей формуле: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 = Vд / Vднач,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Vд - объем дополнительных лимитов бюджетных обязательств на предоставление субсидии;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Vднач - общий объем субсидии, не предоставленной получателям субсидии в текущем финансовом году по основанию, указанному в пункте 2.10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Vд&gt;Vднач коэффициент Кд равен 1.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произведенных расчетов Главный распорядитель заключает дополнительные соглашения к соглашениям, формирует дополнительный реестр получателей субсидии и направляет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инансовый орган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В случае нарушения условий предоставления субсидии, средства субсидии подлежат возврату в местный бюджет на основании: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предписания органа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  (далее – предписание);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Главного распорядителя (далее – требование).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Предписание (требование) направляется получателю субсидии в срок не позднее 30 дней со дня установления факта нарушения условия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невыполнения получателем субсидии предписания (требования) в течение 30 дней со дня его получения взыскание средств производится в 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2.13. 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типовыми формами, установл</w:t>
      </w:r>
      <w:r>
        <w:rPr>
          <w:rFonts w:ascii="Times New Roman" w:hAnsi="Times New Roman" w:cs="Times New Roman"/>
          <w:sz w:val="28"/>
          <w:szCs w:val="28"/>
        </w:rPr>
        <w:t xml:space="preserve">енными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соглашений о предоставлении субсидий из федерального бюджета (за исключением соглашений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заключаемых</w:t>
      </w:r>
      <w:r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защите</w:t>
      </w:r>
      <w:hyperlink r:id="rId14" w:tooltip="https://internet.garant.ru/#/document/10102673/entry/5" w:history="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и иной охраняемой законом тайны)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"Электронный бюджет".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получателя, являющегося юридическим </w:t>
      </w:r>
      <w:r>
        <w:rPr>
          <w:rFonts w:ascii="Times New Roman" w:hAnsi="Times New Roman" w:cs="Times New Roman"/>
          <w:sz w:val="28"/>
          <w:szCs w:val="28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получателя, являющегося юридическим лицом, в форме разделения, выделения, а также при ликвидации полу</w:t>
      </w:r>
      <w:r>
        <w:rPr>
          <w:rFonts w:ascii="Times New Roman" w:hAnsi="Times New Roman" w:cs="Times New Roman"/>
          <w:sz w:val="28"/>
          <w:szCs w:val="28"/>
        </w:rPr>
        <w:t xml:space="preserve">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</w:t>
      </w:r>
      <w:r>
        <w:rPr>
          <w:rFonts w:ascii="Times New Roman" w:hAnsi="Times New Roman" w:cs="Times New Roman"/>
          <w:sz w:val="28"/>
          <w:szCs w:val="28"/>
        </w:rPr>
        <w:t xml:space="preserve">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</w:t>
      </w:r>
      <w:r>
        <w:rPr>
          <w:rFonts w:ascii="Times New Roman" w:hAnsi="Times New Roman" w:cs="Times New Roman"/>
          <w:sz w:val="28"/>
          <w:szCs w:val="28"/>
        </w:rPr>
        <w:t xml:space="preserve">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</w:t>
      </w:r>
      <w:r>
        <w:rPr>
          <w:rFonts w:ascii="Times New Roman" w:hAnsi="Times New Roman" w:cs="Times New Roman"/>
          <w:sz w:val="28"/>
          <w:szCs w:val="28"/>
        </w:rPr>
        <w:t xml:space="preserve">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В соглашение включаются: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согласие получателя субсидии на осуществление Главным распорядителем и органами муниципального финансового контроля проверок, предусмотренных пунктом 4.1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условие о согласовании новых условий соглашения ил</w:t>
      </w:r>
      <w:r>
        <w:rPr>
          <w:rFonts w:ascii="Times New Roman" w:hAnsi="Times New Roman" w:cs="Times New Roman"/>
          <w:sz w:val="28"/>
          <w:szCs w:val="28"/>
        </w:rPr>
        <w:t xml:space="preserve">и о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2.14.3. обязательства получателя субсидии: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достижению значения результата предоставления субсидии, указанного в пункте 2.15 настоящего Порядка, и предоставлению отчета о достижении значения результата предоставления субсидии в срок, установленный пунктом 3.1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 (в том числе за год предоставления субсидии).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2.14.4. меры ответственности, предусмотренные разделом 4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Результатом предоставления субсидии за период с 1 января по 31 декабря года получения субсидии является: достигнут объем высева элитного и (или) оригинального семенного картофеля и овощных культур (тонн).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соответствует типу результата предоставления субсидии «Производство (реализация) продукции», предусмотренному Порядком проведения мониторинга достижен</w:t>
      </w:r>
      <w:r>
        <w:rPr>
          <w:rFonts w:ascii="Times New Roman" w:hAnsi="Times New Roman" w:cs="Times New Roman"/>
          <w:sz w:val="28"/>
          <w:szCs w:val="28"/>
        </w:rPr>
        <w:t xml:space="preserve">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2024г. № 53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 проведения мониторинга).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Перечисление субсидии осуществляется Главным распорядителем в установленном законодательством порядке в пределах утвержденных и доведенных до него бюджетных ассигнований и лимитов бюджетных обязательств на предоставление субсидии.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перечисляется на расчетные счета получателей, указанные получателями субсидии в соглашении, не позднее десятого рабочего дня со дня заключения соглашения.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8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Требования к предоставлению отчетности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Получатель субсидии не позднее 10 рабочего дня, следующего за днем заключения соглаш</w:t>
      </w:r>
      <w:r>
        <w:rPr>
          <w:rFonts w:ascii="Times New Roman" w:hAnsi="Times New Roman" w:cs="Times New Roman"/>
          <w:sz w:val="28"/>
          <w:szCs w:val="28"/>
        </w:rPr>
        <w:t xml:space="preserve">ения, представляет Главному распорядителю отчет о достижении значения результата предоставления субсидии по формам, предусмотренным типовыми формами, установленными Министерством финансов Российской Федерации для соглашений,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Проверка представленной получателем субсидии в соответствии с пунктом 3.1 отчетности осуществляется Главным распорядителем в течение 30 календарных дней с даты поступления указанной отчетности.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представляемых в отчетности сведений.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 результатам проведенной проверки Главный распорядитель либо принимает предста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вленный получателем субсидии отчет, либо уведомляет получателя субсидии в системе «Электронный бюджет» о выявленных замечаниях и нарушениях, подлежащих корректировке, с указанием сроков повторного представления получателем субсидии соответствующего отчета.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информация о результатах предоставления субсидии направляется Главным распорядителем в Минсельхозпрод в порядке и в срок, установленные Минсельхозпродом.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Требования об осуществлении контроля за соблюдением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ответственности за их нарушение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Главный распорядитель и органы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осуществляют контроль за соблюдением условий и порядка предоставления субсидии, установленных настоящим Порядком и соглашением.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контроля Главный распорядитель осуществляет проверку соблюдения получателем субсидии условий и порядка предоставления субсидии, в том числе в части достижения результатов их предоставления, а органы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проводят проверку в соответствии со статьями 268.1 и 269.2 Бюджетного кодекса Российской Федерации.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Получатель субсидии несет ответственность за нарушение условий и порядка предоставления субсидии, установленных настоящим Порядком и соглашением, в соответствии с действующим законодательством.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За нарушение условий и порядка предоставления субсидии, установленных настоящим Порядком и соглашением, устанавливаются следующие меры ответственности: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В случае нарушения получателем субсидии условий предоставления субсидии, установленных настоящим Порядком и соглашением, выявленных, в том числе по фактам проверок, проведенных Главным распорядителем и (или) органами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контроля, получатель субсидии обязан в соответствии с предписанием (требованием) устранить факты нарушения условий предоставления субсидии либо вернуть в доход местного бюджета средства субсидии в порядке, установленном пунктом 2.12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в размере, указанном в предписании (требовании).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В случае нарушения получателем субсидии пор</w:t>
      </w:r>
      <w:r>
        <w:rPr>
          <w:rFonts w:ascii="Times New Roman" w:hAnsi="Times New Roman" w:cs="Times New Roman"/>
          <w:sz w:val="28"/>
          <w:szCs w:val="28"/>
        </w:rPr>
        <w:t xml:space="preserve">ядка предоставления субсидии, установленного настоящим Порядком и соглашением, в том числе в случаях непредставления (представления не в полном объеме либо несвоевременного представления) отчетности, предусмотренной разделом 3 настоящего Порядка, выявления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несоответствия получателя субсидии категориям получателей субсидии, а также установления факта представления получателем субсидии недостоверной информации, получатель субсидии обязан вернуть в доход местного бюджета средства в размере полученной субсидии.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средств в соответствии с по</w:t>
      </w:r>
      <w:r>
        <w:rPr>
          <w:rFonts w:ascii="Times New Roman" w:hAnsi="Times New Roman" w:cs="Times New Roman"/>
          <w:sz w:val="28"/>
          <w:szCs w:val="28"/>
        </w:rPr>
        <w:t xml:space="preserve">дпунктом 4.3.2 настоящего пункта осуществляется на основании уведомления Главного распорядителя в срок, не превышающий 30 календарных дней со дня получения письменного уведомления, если иной срок не указан в уведомлении, в размере, указанном в уведомлении.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Основанием для освобожден</w:t>
      </w:r>
      <w:r>
        <w:rPr>
          <w:rFonts w:ascii="Times New Roman" w:hAnsi="Times New Roman" w:cs="Times New Roman"/>
          <w:sz w:val="28"/>
          <w:szCs w:val="28"/>
        </w:rPr>
        <w:t xml:space="preserve">ия получателей субсидии от применения мер ответственности, предусмотренных пунктом 4.3 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на основании представленных получателем субсидии документов,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одтверждающих наступление обстоятельств непреодолимой силы, вследствие которых соответствующие обязательства не исполнены, а также информации получателя о предпринимаемых мерах по устранению нарушения, не позднее 15 апреля года, следующего за годом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авления субсидии, подготавливает обоснованное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.»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6"/>
        <w:ind w:firstLine="709"/>
        <w:jc w:val="both"/>
        <w:rPr>
          <w:rFonts w:ascii="Arial" w:hAnsi="Arial" w:eastAsia="Calibri" w:cs="Arial"/>
          <w:b w:val="0"/>
          <w:bCs w:val="0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highlight w:val="white"/>
          <w14:ligatures w14:val="none"/>
        </w:rPr>
      </w:pPr>
      <w:r>
        <w:rPr>
          <w:highlight w:val="white"/>
        </w:rPr>
      </w:r>
      <w:r>
        <w:rPr>
          <w:highlight w:val="white"/>
          <w14:ligatures w14:val="none"/>
        </w:rPr>
      </w:r>
      <w:r/>
    </w:p>
    <w:sectPr>
      <w:headerReference w:type="firs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284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jc w:val="center"/>
    </w:pPr>
    <w:r>
      <w:rPr>
        <w:b/>
      </w:rPr>
      <mc:AlternateContent>
        <mc:Choice Requires="wpg">
          <w:drawing>
            <wp:inline xmlns:wp="http://schemas.openxmlformats.org/drawingml/2006/wordprocessingDrawing" distT="0" distB="0" distL="0" distR="0">
              <wp:extent cx="560511" cy="687429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60511" cy="687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4.1pt;height:54.1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6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67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6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67"/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67"/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67"/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67"/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67"/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67"/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67"/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67"/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67"/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67"/>
        <w:ind w:left="7178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67"/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67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67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67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67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67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67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67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67"/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67"/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67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67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67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67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67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67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67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67"/>
        <w:ind w:left="6469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6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67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6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67"/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67"/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67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67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67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67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67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67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67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67"/>
        <w:ind w:left="6469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67"/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67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67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67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67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67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67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67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67"/>
        <w:ind w:left="6469" w:hanging="360"/>
      </w:pPr>
      <w:rPr>
        <w:rFonts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6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67"/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67"/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67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67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67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67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67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67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67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67"/>
        <w:ind w:left="6469" w:hanging="360"/>
      </w:pPr>
      <w:rPr>
        <w:rFonts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6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67"/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6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67"/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67"/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67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67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67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67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67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67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67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67"/>
        <w:ind w:left="6469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67"/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67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67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67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67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67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67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67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67"/>
        <w:ind w:left="6469" w:hanging="360"/>
      </w:pPr>
      <w:rPr>
        <w:rFonts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67"/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67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67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67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67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67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67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67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67"/>
        <w:ind w:left="6469" w:hanging="360"/>
      </w:pPr>
      <w:rPr>
        <w:rFonts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67"/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67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67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67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67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67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67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67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67"/>
        <w:ind w:left="6469" w:hanging="360"/>
      </w:pPr>
      <w:rPr>
        <w:rFonts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67"/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67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67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67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67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67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67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67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67"/>
        <w:ind w:left="6469" w:hanging="360"/>
      </w:pPr>
      <w:rPr>
        <w:rFonts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67"/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67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67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67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67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67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67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67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67"/>
        <w:ind w:left="6469" w:hanging="360"/>
      </w:pPr>
      <w:rPr>
        <w:rFonts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67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67"/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67"/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67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67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67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67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67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67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67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67"/>
        <w:ind w:left="6469" w:hanging="360"/>
      </w:pPr>
      <w:rPr>
        <w:rFonts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67"/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67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67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67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67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67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67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67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67"/>
        <w:ind w:left="6469" w:hanging="360"/>
      </w:pPr>
      <w:rPr>
        <w:rFonts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67"/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67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67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67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67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67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67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67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67"/>
        <w:ind w:left="6469" w:hanging="360"/>
      </w:pPr>
      <w:rPr>
        <w:rFonts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67"/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67"/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67"/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67"/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67"/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67"/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67"/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67"/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67"/>
        <w:ind w:left="6469" w:hanging="360"/>
      </w:pPr>
      <w:rPr>
        <w:rFonts w:ascii="Wingdings" w:hAnsi="Wingdings" w:eastAsia="Wingdings" w:cs="Wingdings"/>
      </w:r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19"/>
  </w:num>
  <w:num w:numId="9">
    <w:abstractNumId w:val="6"/>
  </w:num>
  <w:num w:numId="10">
    <w:abstractNumId w:val="5"/>
  </w:num>
  <w:num w:numId="11">
    <w:abstractNumId w:val="20"/>
  </w:num>
  <w:num w:numId="12">
    <w:abstractNumId w:val="16"/>
  </w:num>
  <w:num w:numId="13">
    <w:abstractNumId w:val="14"/>
  </w:num>
  <w:num w:numId="14">
    <w:abstractNumId w:val="13"/>
  </w:num>
  <w:num w:numId="15">
    <w:abstractNumId w:val="7"/>
  </w:num>
  <w:num w:numId="16">
    <w:abstractNumId w:val="8"/>
  </w:num>
  <w:num w:numId="17">
    <w:abstractNumId w:val="2"/>
  </w:num>
  <w:num w:numId="18">
    <w:abstractNumId w:val="18"/>
  </w:num>
  <w:num w:numId="19">
    <w:abstractNumId w:val="10"/>
  </w:num>
  <w:num w:numId="20">
    <w:abstractNumId w:val="1"/>
  </w:num>
  <w:num w:numId="21">
    <w:abstractNumId w:val="0"/>
  </w:num>
  <w:num w:numId="22">
    <w:abstractNumId w:val="9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767"/>
    <w:next w:val="767"/>
    <w:link w:val="8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4">
    <w:name w:val="Heading 2"/>
    <w:basedOn w:val="767"/>
    <w:next w:val="767"/>
    <w:link w:val="82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5">
    <w:name w:val="Heading 3"/>
    <w:basedOn w:val="767"/>
    <w:next w:val="767"/>
    <w:link w:val="8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6">
    <w:name w:val="Heading 4"/>
    <w:basedOn w:val="767"/>
    <w:next w:val="767"/>
    <w:link w:val="8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767"/>
    <w:next w:val="767"/>
    <w:link w:val="8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767"/>
    <w:next w:val="767"/>
    <w:link w:val="8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767"/>
    <w:next w:val="767"/>
    <w:link w:val="8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767"/>
    <w:next w:val="767"/>
    <w:link w:val="8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767"/>
    <w:next w:val="767"/>
    <w:link w:val="8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767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767"/>
    <w:next w:val="767"/>
    <w:link w:val="83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5">
    <w:name w:val="Subtitle"/>
    <w:basedOn w:val="767"/>
    <w:next w:val="767"/>
    <w:link w:val="835"/>
    <w:uiPriority w:val="11"/>
    <w:qFormat/>
    <w:pPr>
      <w:spacing w:before="200" w:after="200"/>
    </w:pPr>
    <w:rPr>
      <w:sz w:val="24"/>
      <w:szCs w:val="24"/>
    </w:rPr>
  </w:style>
  <w:style w:type="paragraph" w:styleId="726">
    <w:name w:val="Quote"/>
    <w:basedOn w:val="767"/>
    <w:next w:val="767"/>
    <w:link w:val="836"/>
    <w:uiPriority w:val="29"/>
    <w:qFormat/>
    <w:pPr>
      <w:ind w:left="720" w:right="720"/>
    </w:pPr>
    <w:rPr>
      <w:i/>
    </w:rPr>
  </w:style>
  <w:style w:type="paragraph" w:styleId="727">
    <w:name w:val="Intense Quote"/>
    <w:basedOn w:val="767"/>
    <w:next w:val="767"/>
    <w:link w:val="8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8">
    <w:name w:val="Header"/>
    <w:basedOn w:val="767"/>
    <w:link w:val="8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9">
    <w:name w:val="Footer"/>
    <w:basedOn w:val="767"/>
    <w:link w:val="8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0">
    <w:name w:val="Caption"/>
    <w:basedOn w:val="767"/>
    <w:next w:val="7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1">
    <w:name w:val="Hyperlink"/>
    <w:uiPriority w:val="99"/>
    <w:unhideWhenUsed/>
    <w:rPr>
      <w:color w:val="0000ff" w:themeColor="hyperlink"/>
      <w:u w:val="single"/>
    </w:rPr>
  </w:style>
  <w:style w:type="paragraph" w:styleId="752">
    <w:name w:val="footnote text"/>
    <w:basedOn w:val="767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753">
    <w:name w:val="footnote reference"/>
    <w:uiPriority w:val="99"/>
    <w:unhideWhenUsed/>
    <w:rPr>
      <w:vertAlign w:val="superscript"/>
    </w:rPr>
  </w:style>
  <w:style w:type="paragraph" w:styleId="754">
    <w:name w:val="endnote text"/>
    <w:basedOn w:val="767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755">
    <w:name w:val="endnote reference"/>
    <w:uiPriority w:val="99"/>
    <w:semiHidden/>
    <w:unhideWhenUsed/>
    <w:rPr>
      <w:vertAlign w:val="superscript"/>
    </w:rPr>
  </w:style>
  <w:style w:type="paragraph" w:styleId="756">
    <w:name w:val="toc 1"/>
    <w:basedOn w:val="767"/>
    <w:next w:val="767"/>
    <w:uiPriority w:val="39"/>
    <w:unhideWhenUsed/>
    <w:pPr>
      <w:ind w:left="0" w:right="0" w:firstLine="0"/>
      <w:spacing w:after="57"/>
    </w:pPr>
  </w:style>
  <w:style w:type="paragraph" w:styleId="757">
    <w:name w:val="toc 2"/>
    <w:basedOn w:val="767"/>
    <w:next w:val="767"/>
    <w:uiPriority w:val="39"/>
    <w:unhideWhenUsed/>
    <w:pPr>
      <w:ind w:left="283" w:right="0" w:firstLine="0"/>
      <w:spacing w:after="57"/>
    </w:pPr>
  </w:style>
  <w:style w:type="paragraph" w:styleId="758">
    <w:name w:val="toc 3"/>
    <w:basedOn w:val="767"/>
    <w:next w:val="767"/>
    <w:uiPriority w:val="39"/>
    <w:unhideWhenUsed/>
    <w:pPr>
      <w:ind w:left="567" w:right="0" w:firstLine="0"/>
      <w:spacing w:after="57"/>
    </w:pPr>
  </w:style>
  <w:style w:type="paragraph" w:styleId="759">
    <w:name w:val="toc 4"/>
    <w:basedOn w:val="767"/>
    <w:next w:val="767"/>
    <w:uiPriority w:val="39"/>
    <w:unhideWhenUsed/>
    <w:pPr>
      <w:ind w:left="850" w:right="0" w:firstLine="0"/>
      <w:spacing w:after="57"/>
    </w:pPr>
  </w:style>
  <w:style w:type="paragraph" w:styleId="760">
    <w:name w:val="toc 5"/>
    <w:basedOn w:val="767"/>
    <w:next w:val="767"/>
    <w:uiPriority w:val="39"/>
    <w:unhideWhenUsed/>
    <w:pPr>
      <w:ind w:left="1134" w:right="0" w:firstLine="0"/>
      <w:spacing w:after="57"/>
    </w:pPr>
  </w:style>
  <w:style w:type="paragraph" w:styleId="761">
    <w:name w:val="toc 6"/>
    <w:basedOn w:val="767"/>
    <w:next w:val="767"/>
    <w:uiPriority w:val="39"/>
    <w:unhideWhenUsed/>
    <w:pPr>
      <w:ind w:left="1417" w:right="0" w:firstLine="0"/>
      <w:spacing w:after="57"/>
    </w:pPr>
  </w:style>
  <w:style w:type="paragraph" w:styleId="762">
    <w:name w:val="toc 7"/>
    <w:basedOn w:val="767"/>
    <w:next w:val="767"/>
    <w:uiPriority w:val="39"/>
    <w:unhideWhenUsed/>
    <w:pPr>
      <w:ind w:left="1701" w:right="0" w:firstLine="0"/>
      <w:spacing w:after="57"/>
    </w:pPr>
  </w:style>
  <w:style w:type="paragraph" w:styleId="763">
    <w:name w:val="toc 8"/>
    <w:basedOn w:val="767"/>
    <w:next w:val="767"/>
    <w:uiPriority w:val="39"/>
    <w:unhideWhenUsed/>
    <w:pPr>
      <w:ind w:left="1984" w:right="0" w:firstLine="0"/>
      <w:spacing w:after="57"/>
    </w:pPr>
  </w:style>
  <w:style w:type="paragraph" w:styleId="764">
    <w:name w:val="toc 9"/>
    <w:basedOn w:val="767"/>
    <w:next w:val="767"/>
    <w:uiPriority w:val="39"/>
    <w:unhideWhenUsed/>
    <w:pPr>
      <w:ind w:left="2268" w:right="0" w:firstLine="0"/>
      <w:spacing w:after="57"/>
    </w:pPr>
  </w:style>
  <w:style w:type="paragraph" w:styleId="765">
    <w:name w:val="TOC Heading"/>
    <w:uiPriority w:val="39"/>
    <w:unhideWhenUsed/>
  </w:style>
  <w:style w:type="paragraph" w:styleId="766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next w:val="767"/>
    <w:link w:val="767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768">
    <w:name w:val="Заголовок 1"/>
    <w:basedOn w:val="767"/>
    <w:next w:val="767"/>
    <w:link w:val="8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9">
    <w:name w:val="Заголовок 2"/>
    <w:basedOn w:val="767"/>
    <w:next w:val="767"/>
    <w:link w:val="8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0">
    <w:name w:val="Заголовок 3"/>
    <w:basedOn w:val="767"/>
    <w:next w:val="767"/>
    <w:link w:val="8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1">
    <w:name w:val="Заголовок 4"/>
    <w:basedOn w:val="767"/>
    <w:next w:val="767"/>
    <w:link w:val="8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2">
    <w:name w:val="Заголовок 5"/>
    <w:basedOn w:val="767"/>
    <w:next w:val="767"/>
    <w:link w:val="8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3">
    <w:name w:val="Заголовок 6"/>
    <w:basedOn w:val="767"/>
    <w:next w:val="767"/>
    <w:link w:val="8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4">
    <w:name w:val="Заголовок 7"/>
    <w:basedOn w:val="767"/>
    <w:next w:val="767"/>
    <w:link w:val="8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5">
    <w:name w:val="Заголовок 8"/>
    <w:basedOn w:val="767"/>
    <w:next w:val="767"/>
    <w:link w:val="8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6">
    <w:name w:val="Заголовок 9"/>
    <w:basedOn w:val="767"/>
    <w:next w:val="767"/>
    <w:link w:val="8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>
    <w:name w:val="Основной шрифт абзаца"/>
    <w:next w:val="777"/>
    <w:link w:val="767"/>
    <w:uiPriority w:val="1"/>
    <w:semiHidden/>
    <w:unhideWhenUsed/>
  </w:style>
  <w:style w:type="table" w:styleId="778">
    <w:name w:val="Обычная таблица"/>
    <w:next w:val="778"/>
    <w:link w:val="767"/>
    <w:uiPriority w:val="99"/>
    <w:semiHidden/>
    <w:unhideWhenUsed/>
    <w:tblPr/>
  </w:style>
  <w:style w:type="numbering" w:styleId="779">
    <w:name w:val="Нет списка"/>
    <w:next w:val="779"/>
    <w:link w:val="767"/>
    <w:uiPriority w:val="99"/>
    <w:semiHidden/>
    <w:unhideWhenUsed/>
  </w:style>
  <w:style w:type="paragraph" w:styleId="780">
    <w:name w:val="Абзац списка"/>
    <w:basedOn w:val="767"/>
    <w:next w:val="780"/>
    <w:link w:val="767"/>
    <w:uiPriority w:val="34"/>
    <w:qFormat/>
    <w:pPr>
      <w:contextualSpacing/>
      <w:ind w:left="720"/>
    </w:pPr>
  </w:style>
  <w:style w:type="paragraph" w:styleId="781">
    <w:name w:val="Без интервала"/>
    <w:next w:val="781"/>
    <w:link w:val="767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782">
    <w:name w:val="Заголовок"/>
    <w:basedOn w:val="767"/>
    <w:next w:val="767"/>
    <w:link w:val="84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83">
    <w:name w:val="Подзаголовок"/>
    <w:basedOn w:val="767"/>
    <w:next w:val="767"/>
    <w:link w:val="850"/>
    <w:uiPriority w:val="11"/>
    <w:qFormat/>
    <w:pPr>
      <w:spacing w:before="200" w:after="200"/>
    </w:pPr>
    <w:rPr>
      <w:sz w:val="24"/>
      <w:szCs w:val="24"/>
    </w:rPr>
  </w:style>
  <w:style w:type="paragraph" w:styleId="784">
    <w:name w:val="Цитата 2"/>
    <w:basedOn w:val="767"/>
    <w:next w:val="767"/>
    <w:link w:val="851"/>
    <w:uiPriority w:val="29"/>
    <w:qFormat/>
    <w:pPr>
      <w:ind w:left="720" w:right="720"/>
    </w:pPr>
    <w:rPr>
      <w:i/>
    </w:rPr>
  </w:style>
  <w:style w:type="paragraph" w:styleId="785">
    <w:name w:val="Выделенная цитата"/>
    <w:basedOn w:val="767"/>
    <w:next w:val="767"/>
    <w:link w:val="8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6">
    <w:name w:val="Верхний колонтитул"/>
    <w:basedOn w:val="767"/>
    <w:next w:val="786"/>
    <w:link w:val="964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787">
    <w:name w:val="Нижний колонтитул"/>
    <w:basedOn w:val="767"/>
    <w:next w:val="787"/>
    <w:link w:val="965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788">
    <w:name w:val="Название объекта"/>
    <w:basedOn w:val="767"/>
    <w:next w:val="767"/>
    <w:link w:val="767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table" w:styleId="789">
    <w:name w:val="Сетка таблицы"/>
    <w:basedOn w:val="778"/>
    <w:next w:val="789"/>
    <w:link w:val="767"/>
    <w:uiPriority w:val="59"/>
    <w:tblPr/>
  </w:style>
  <w:style w:type="table" w:styleId="790">
    <w:name w:val="Таблица простая 1"/>
    <w:basedOn w:val="778"/>
    <w:next w:val="790"/>
    <w:link w:val="767"/>
    <w:uiPriority w:val="59"/>
    <w:tblPr/>
  </w:style>
  <w:style w:type="table" w:styleId="791">
    <w:name w:val="Таблица простая 2"/>
    <w:basedOn w:val="778"/>
    <w:next w:val="791"/>
    <w:link w:val="767"/>
    <w:uiPriority w:val="59"/>
    <w:tblPr/>
  </w:style>
  <w:style w:type="table" w:styleId="792">
    <w:name w:val="Таблица простая 3"/>
    <w:basedOn w:val="778"/>
    <w:next w:val="792"/>
    <w:link w:val="767"/>
    <w:uiPriority w:val="99"/>
    <w:tblPr/>
  </w:style>
  <w:style w:type="table" w:styleId="793">
    <w:name w:val="Таблица простая 4"/>
    <w:basedOn w:val="778"/>
    <w:next w:val="793"/>
    <w:link w:val="767"/>
    <w:uiPriority w:val="99"/>
    <w:tblPr/>
  </w:style>
  <w:style w:type="table" w:styleId="794">
    <w:name w:val="Таблица простая 5"/>
    <w:basedOn w:val="778"/>
    <w:next w:val="794"/>
    <w:link w:val="767"/>
    <w:uiPriority w:val="99"/>
    <w:tblPr/>
  </w:style>
  <w:style w:type="table" w:styleId="795">
    <w:name w:val="Таблица-сетка 1 светлая"/>
    <w:basedOn w:val="778"/>
    <w:next w:val="795"/>
    <w:link w:val="767"/>
    <w:uiPriority w:val="99"/>
    <w:tblPr/>
  </w:style>
  <w:style w:type="table" w:styleId="796">
    <w:name w:val="Таблица-сетка 2"/>
    <w:basedOn w:val="778"/>
    <w:next w:val="796"/>
    <w:link w:val="767"/>
    <w:uiPriority w:val="99"/>
    <w:tblPr/>
  </w:style>
  <w:style w:type="table" w:styleId="797">
    <w:name w:val="Таблица-сетка 3"/>
    <w:basedOn w:val="778"/>
    <w:next w:val="797"/>
    <w:link w:val="767"/>
    <w:uiPriority w:val="99"/>
    <w:tblPr/>
  </w:style>
  <w:style w:type="table" w:styleId="798">
    <w:name w:val="Таблица-сетка 4"/>
    <w:basedOn w:val="778"/>
    <w:next w:val="798"/>
    <w:link w:val="767"/>
    <w:uiPriority w:val="59"/>
    <w:tblPr/>
  </w:style>
  <w:style w:type="table" w:styleId="799">
    <w:name w:val="Таблица-сетка 5 темная"/>
    <w:basedOn w:val="778"/>
    <w:next w:val="799"/>
    <w:link w:val="767"/>
    <w:uiPriority w:val="99"/>
    <w:tblPr/>
  </w:style>
  <w:style w:type="table" w:styleId="800">
    <w:name w:val="Таблица-сетка 6 цветная"/>
    <w:basedOn w:val="778"/>
    <w:next w:val="800"/>
    <w:link w:val="767"/>
    <w:uiPriority w:val="99"/>
    <w:tblPr/>
  </w:style>
  <w:style w:type="table" w:styleId="801">
    <w:name w:val="Таблица-сетка 7 цветная"/>
    <w:basedOn w:val="778"/>
    <w:next w:val="801"/>
    <w:link w:val="767"/>
    <w:uiPriority w:val="99"/>
    <w:tblPr/>
  </w:style>
  <w:style w:type="table" w:styleId="802">
    <w:name w:val="Список-таблица 1 светлая"/>
    <w:basedOn w:val="778"/>
    <w:next w:val="802"/>
    <w:link w:val="767"/>
    <w:uiPriority w:val="99"/>
    <w:tblPr/>
  </w:style>
  <w:style w:type="table" w:styleId="803">
    <w:name w:val="Список-таблица 2"/>
    <w:basedOn w:val="778"/>
    <w:next w:val="803"/>
    <w:link w:val="767"/>
    <w:uiPriority w:val="99"/>
    <w:tblPr/>
  </w:style>
  <w:style w:type="table" w:styleId="804">
    <w:name w:val="Список-таблица 3"/>
    <w:basedOn w:val="778"/>
    <w:next w:val="804"/>
    <w:link w:val="767"/>
    <w:uiPriority w:val="99"/>
    <w:tblPr/>
  </w:style>
  <w:style w:type="table" w:styleId="805">
    <w:name w:val="Список-таблица 4"/>
    <w:basedOn w:val="778"/>
    <w:next w:val="805"/>
    <w:link w:val="767"/>
    <w:uiPriority w:val="99"/>
    <w:tblPr/>
  </w:style>
  <w:style w:type="table" w:styleId="806">
    <w:name w:val="Список-таблица 5 темная"/>
    <w:basedOn w:val="778"/>
    <w:next w:val="806"/>
    <w:link w:val="767"/>
    <w:uiPriority w:val="99"/>
    <w:tblPr/>
  </w:style>
  <w:style w:type="table" w:styleId="807">
    <w:name w:val="Список-таблица 6 цветная"/>
    <w:basedOn w:val="778"/>
    <w:next w:val="807"/>
    <w:link w:val="767"/>
    <w:uiPriority w:val="99"/>
    <w:tblPr/>
  </w:style>
  <w:style w:type="table" w:styleId="808">
    <w:name w:val="Список-таблица 7 цветная"/>
    <w:basedOn w:val="778"/>
    <w:next w:val="808"/>
    <w:link w:val="767"/>
    <w:uiPriority w:val="99"/>
    <w:tblPr/>
  </w:style>
  <w:style w:type="character" w:styleId="809">
    <w:name w:val="Гиперссылка"/>
    <w:next w:val="809"/>
    <w:link w:val="767"/>
    <w:uiPriority w:val="99"/>
    <w:unhideWhenUsed/>
    <w:rPr>
      <w:color w:val="0563c1"/>
      <w:u w:val="single"/>
    </w:rPr>
  </w:style>
  <w:style w:type="paragraph" w:styleId="810">
    <w:name w:val="Текст сноски"/>
    <w:basedOn w:val="767"/>
    <w:next w:val="810"/>
    <w:link w:val="962"/>
    <w:uiPriority w:val="99"/>
    <w:semiHidden/>
    <w:unhideWhenUsed/>
    <w:pPr>
      <w:spacing w:after="40"/>
    </w:pPr>
    <w:rPr>
      <w:sz w:val="18"/>
    </w:rPr>
  </w:style>
  <w:style w:type="character" w:styleId="811">
    <w:name w:val="Знак сноски"/>
    <w:next w:val="811"/>
    <w:link w:val="767"/>
    <w:uiPriority w:val="99"/>
    <w:unhideWhenUsed/>
    <w:rPr>
      <w:vertAlign w:val="superscript"/>
    </w:rPr>
  </w:style>
  <w:style w:type="paragraph" w:styleId="812">
    <w:name w:val="Текст концевой сноски"/>
    <w:basedOn w:val="767"/>
    <w:next w:val="812"/>
    <w:link w:val="963"/>
    <w:uiPriority w:val="99"/>
    <w:semiHidden/>
    <w:unhideWhenUsed/>
    <w:rPr>
      <w:sz w:val="20"/>
    </w:rPr>
  </w:style>
  <w:style w:type="character" w:styleId="813">
    <w:name w:val="Знак концевой сноски"/>
    <w:next w:val="813"/>
    <w:link w:val="767"/>
    <w:uiPriority w:val="99"/>
    <w:semiHidden/>
    <w:unhideWhenUsed/>
    <w:rPr>
      <w:vertAlign w:val="superscript"/>
    </w:rPr>
  </w:style>
  <w:style w:type="paragraph" w:styleId="814">
    <w:name w:val="Оглавление 1"/>
    <w:basedOn w:val="767"/>
    <w:next w:val="767"/>
    <w:link w:val="767"/>
    <w:uiPriority w:val="39"/>
    <w:unhideWhenUsed/>
    <w:pPr>
      <w:spacing w:after="57"/>
    </w:pPr>
  </w:style>
  <w:style w:type="paragraph" w:styleId="815">
    <w:name w:val="Оглавление 2"/>
    <w:basedOn w:val="767"/>
    <w:next w:val="767"/>
    <w:link w:val="767"/>
    <w:uiPriority w:val="39"/>
    <w:unhideWhenUsed/>
    <w:pPr>
      <w:ind w:left="283"/>
      <w:spacing w:after="57"/>
    </w:pPr>
  </w:style>
  <w:style w:type="paragraph" w:styleId="816">
    <w:name w:val="Оглавление 3"/>
    <w:basedOn w:val="767"/>
    <w:next w:val="767"/>
    <w:link w:val="767"/>
    <w:uiPriority w:val="39"/>
    <w:unhideWhenUsed/>
    <w:pPr>
      <w:ind w:left="567"/>
      <w:spacing w:after="57"/>
    </w:pPr>
  </w:style>
  <w:style w:type="paragraph" w:styleId="817">
    <w:name w:val="Оглавление 4"/>
    <w:basedOn w:val="767"/>
    <w:next w:val="767"/>
    <w:link w:val="767"/>
    <w:uiPriority w:val="39"/>
    <w:unhideWhenUsed/>
    <w:pPr>
      <w:ind w:left="850"/>
      <w:spacing w:after="57"/>
    </w:pPr>
  </w:style>
  <w:style w:type="paragraph" w:styleId="818">
    <w:name w:val="Оглавление 5"/>
    <w:basedOn w:val="767"/>
    <w:next w:val="767"/>
    <w:link w:val="767"/>
    <w:uiPriority w:val="39"/>
    <w:unhideWhenUsed/>
    <w:pPr>
      <w:ind w:left="1134"/>
      <w:spacing w:after="57"/>
    </w:pPr>
  </w:style>
  <w:style w:type="paragraph" w:styleId="819">
    <w:name w:val="Оглавление 6"/>
    <w:basedOn w:val="767"/>
    <w:next w:val="767"/>
    <w:link w:val="767"/>
    <w:uiPriority w:val="39"/>
    <w:unhideWhenUsed/>
    <w:pPr>
      <w:ind w:left="1417"/>
      <w:spacing w:after="57"/>
    </w:pPr>
  </w:style>
  <w:style w:type="paragraph" w:styleId="820">
    <w:name w:val="Оглавление 7"/>
    <w:basedOn w:val="767"/>
    <w:next w:val="767"/>
    <w:link w:val="767"/>
    <w:uiPriority w:val="39"/>
    <w:unhideWhenUsed/>
    <w:pPr>
      <w:ind w:left="1701"/>
      <w:spacing w:after="57"/>
    </w:pPr>
  </w:style>
  <w:style w:type="paragraph" w:styleId="821">
    <w:name w:val="Оглавление 8"/>
    <w:basedOn w:val="767"/>
    <w:next w:val="767"/>
    <w:link w:val="767"/>
    <w:uiPriority w:val="39"/>
    <w:unhideWhenUsed/>
    <w:pPr>
      <w:ind w:left="1984"/>
      <w:spacing w:after="57"/>
    </w:pPr>
  </w:style>
  <w:style w:type="paragraph" w:styleId="822">
    <w:name w:val="Оглавление 9"/>
    <w:basedOn w:val="767"/>
    <w:next w:val="767"/>
    <w:link w:val="767"/>
    <w:uiPriority w:val="39"/>
    <w:unhideWhenUsed/>
    <w:pPr>
      <w:ind w:left="2268"/>
      <w:spacing w:after="57"/>
    </w:pPr>
  </w:style>
  <w:style w:type="paragraph" w:styleId="823">
    <w:name w:val="Заголовок оглавления"/>
    <w:next w:val="823"/>
    <w:link w:val="767"/>
    <w:uiPriority w:val="39"/>
    <w:unhideWhenUsed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824">
    <w:name w:val="Перечень рисунков"/>
    <w:basedOn w:val="767"/>
    <w:next w:val="767"/>
    <w:link w:val="767"/>
    <w:uiPriority w:val="99"/>
    <w:unhideWhenUsed/>
  </w:style>
  <w:style w:type="character" w:styleId="825">
    <w:name w:val="Heading 1 Char"/>
    <w:next w:val="825"/>
    <w:link w:val="767"/>
    <w:uiPriority w:val="9"/>
    <w:rPr>
      <w:rFonts w:ascii="Arial" w:hAnsi="Arial" w:eastAsia="Arial" w:cs="Arial"/>
      <w:sz w:val="40"/>
      <w:szCs w:val="40"/>
    </w:rPr>
  </w:style>
  <w:style w:type="character" w:styleId="826">
    <w:name w:val="Heading 2 Char"/>
    <w:next w:val="826"/>
    <w:link w:val="767"/>
    <w:uiPriority w:val="9"/>
    <w:rPr>
      <w:rFonts w:ascii="Arial" w:hAnsi="Arial" w:eastAsia="Arial" w:cs="Arial"/>
      <w:sz w:val="34"/>
    </w:rPr>
  </w:style>
  <w:style w:type="character" w:styleId="827">
    <w:name w:val="Heading 3 Char"/>
    <w:next w:val="827"/>
    <w:link w:val="767"/>
    <w:uiPriority w:val="9"/>
    <w:rPr>
      <w:rFonts w:ascii="Arial" w:hAnsi="Arial" w:eastAsia="Arial" w:cs="Arial"/>
      <w:sz w:val="30"/>
      <w:szCs w:val="30"/>
    </w:rPr>
  </w:style>
  <w:style w:type="character" w:styleId="828">
    <w:name w:val="Heading 4 Char"/>
    <w:next w:val="828"/>
    <w:link w:val="767"/>
    <w:uiPriority w:val="9"/>
    <w:rPr>
      <w:rFonts w:ascii="Arial" w:hAnsi="Arial" w:eastAsia="Arial" w:cs="Arial"/>
      <w:b/>
      <w:bCs/>
      <w:sz w:val="26"/>
      <w:szCs w:val="26"/>
    </w:rPr>
  </w:style>
  <w:style w:type="character" w:styleId="829">
    <w:name w:val="Heading 5 Char"/>
    <w:next w:val="829"/>
    <w:link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830">
    <w:name w:val="Heading 6 Char"/>
    <w:next w:val="830"/>
    <w:link w:val="767"/>
    <w:uiPriority w:val="9"/>
    <w:rPr>
      <w:rFonts w:ascii="Arial" w:hAnsi="Arial" w:eastAsia="Arial" w:cs="Arial"/>
      <w:b/>
      <w:bCs/>
      <w:sz w:val="22"/>
      <w:szCs w:val="22"/>
    </w:rPr>
  </w:style>
  <w:style w:type="character" w:styleId="831">
    <w:name w:val="Heading 7 Char"/>
    <w:next w:val="831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2">
    <w:name w:val="Heading 8 Char"/>
    <w:next w:val="832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833">
    <w:name w:val="Heading 9 Char"/>
    <w:next w:val="833"/>
    <w:link w:val="767"/>
    <w:uiPriority w:val="9"/>
    <w:rPr>
      <w:rFonts w:ascii="Arial" w:hAnsi="Arial" w:eastAsia="Arial" w:cs="Arial"/>
      <w:i/>
      <w:iCs/>
      <w:sz w:val="21"/>
      <w:szCs w:val="21"/>
    </w:rPr>
  </w:style>
  <w:style w:type="character" w:styleId="834">
    <w:name w:val="Title Char"/>
    <w:next w:val="834"/>
    <w:link w:val="767"/>
    <w:uiPriority w:val="10"/>
    <w:rPr>
      <w:sz w:val="48"/>
      <w:szCs w:val="48"/>
    </w:rPr>
  </w:style>
  <w:style w:type="character" w:styleId="835">
    <w:name w:val="Subtitle Char"/>
    <w:next w:val="835"/>
    <w:link w:val="767"/>
    <w:uiPriority w:val="11"/>
    <w:rPr>
      <w:sz w:val="24"/>
      <w:szCs w:val="24"/>
    </w:rPr>
  </w:style>
  <w:style w:type="character" w:styleId="836">
    <w:name w:val="Quote Char"/>
    <w:next w:val="836"/>
    <w:link w:val="767"/>
    <w:uiPriority w:val="29"/>
    <w:rPr>
      <w:i/>
    </w:rPr>
  </w:style>
  <w:style w:type="character" w:styleId="837">
    <w:name w:val="Intense Quote Char"/>
    <w:next w:val="837"/>
    <w:link w:val="767"/>
    <w:uiPriority w:val="30"/>
    <w:rPr>
      <w:i/>
    </w:rPr>
  </w:style>
  <w:style w:type="character" w:styleId="838">
    <w:name w:val="Footnote Text Char"/>
    <w:next w:val="838"/>
    <w:link w:val="767"/>
    <w:uiPriority w:val="99"/>
    <w:rPr>
      <w:sz w:val="18"/>
    </w:rPr>
  </w:style>
  <w:style w:type="character" w:styleId="839">
    <w:name w:val="Endnote Text Char"/>
    <w:next w:val="839"/>
    <w:link w:val="767"/>
    <w:uiPriority w:val="99"/>
    <w:rPr>
      <w:sz w:val="20"/>
    </w:rPr>
  </w:style>
  <w:style w:type="character" w:styleId="840">
    <w:name w:val="Заголовок 1 Знак"/>
    <w:next w:val="840"/>
    <w:link w:val="768"/>
    <w:uiPriority w:val="9"/>
    <w:rPr>
      <w:rFonts w:ascii="Arial" w:hAnsi="Arial" w:eastAsia="Arial" w:cs="Arial"/>
      <w:sz w:val="40"/>
      <w:szCs w:val="40"/>
    </w:rPr>
  </w:style>
  <w:style w:type="character" w:styleId="841">
    <w:name w:val="Заголовок 2 Знак"/>
    <w:next w:val="841"/>
    <w:link w:val="769"/>
    <w:uiPriority w:val="9"/>
    <w:rPr>
      <w:rFonts w:ascii="Arial" w:hAnsi="Arial" w:eastAsia="Arial" w:cs="Arial"/>
      <w:sz w:val="34"/>
    </w:rPr>
  </w:style>
  <w:style w:type="character" w:styleId="842">
    <w:name w:val="Заголовок 3 Знак"/>
    <w:next w:val="842"/>
    <w:link w:val="770"/>
    <w:uiPriority w:val="9"/>
    <w:rPr>
      <w:rFonts w:ascii="Arial" w:hAnsi="Arial" w:eastAsia="Arial" w:cs="Arial"/>
      <w:sz w:val="30"/>
      <w:szCs w:val="30"/>
    </w:rPr>
  </w:style>
  <w:style w:type="character" w:styleId="843">
    <w:name w:val="Заголовок 4 Знак"/>
    <w:next w:val="843"/>
    <w:link w:val="771"/>
    <w:uiPriority w:val="9"/>
    <w:rPr>
      <w:rFonts w:ascii="Arial" w:hAnsi="Arial" w:eastAsia="Arial" w:cs="Arial"/>
      <w:b/>
      <w:bCs/>
      <w:sz w:val="26"/>
      <w:szCs w:val="26"/>
    </w:rPr>
  </w:style>
  <w:style w:type="character" w:styleId="844">
    <w:name w:val="Заголовок 5 Знак"/>
    <w:next w:val="844"/>
    <w:link w:val="772"/>
    <w:uiPriority w:val="9"/>
    <w:rPr>
      <w:rFonts w:ascii="Arial" w:hAnsi="Arial" w:eastAsia="Arial" w:cs="Arial"/>
      <w:b/>
      <w:bCs/>
      <w:sz w:val="24"/>
      <w:szCs w:val="24"/>
    </w:rPr>
  </w:style>
  <w:style w:type="character" w:styleId="845">
    <w:name w:val="Заголовок 6 Знак"/>
    <w:next w:val="845"/>
    <w:link w:val="773"/>
    <w:uiPriority w:val="9"/>
    <w:rPr>
      <w:rFonts w:ascii="Arial" w:hAnsi="Arial" w:eastAsia="Arial" w:cs="Arial"/>
      <w:b/>
      <w:bCs/>
      <w:sz w:val="22"/>
      <w:szCs w:val="22"/>
    </w:rPr>
  </w:style>
  <w:style w:type="character" w:styleId="846">
    <w:name w:val="Заголовок 7 Знак"/>
    <w:next w:val="846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7">
    <w:name w:val="Заголовок 8 Знак"/>
    <w:next w:val="847"/>
    <w:link w:val="775"/>
    <w:uiPriority w:val="9"/>
    <w:rPr>
      <w:rFonts w:ascii="Arial" w:hAnsi="Arial" w:eastAsia="Arial" w:cs="Arial"/>
      <w:i/>
      <w:iCs/>
      <w:sz w:val="22"/>
      <w:szCs w:val="22"/>
    </w:rPr>
  </w:style>
  <w:style w:type="character" w:styleId="848">
    <w:name w:val="Заголовок 9 Знак"/>
    <w:next w:val="848"/>
    <w:link w:val="776"/>
    <w:uiPriority w:val="9"/>
    <w:rPr>
      <w:rFonts w:ascii="Arial" w:hAnsi="Arial" w:eastAsia="Arial" w:cs="Arial"/>
      <w:i/>
      <w:iCs/>
      <w:sz w:val="21"/>
      <w:szCs w:val="21"/>
    </w:rPr>
  </w:style>
  <w:style w:type="character" w:styleId="849">
    <w:name w:val="Заголовок Знак"/>
    <w:next w:val="849"/>
    <w:link w:val="782"/>
    <w:uiPriority w:val="10"/>
    <w:rPr>
      <w:sz w:val="48"/>
      <w:szCs w:val="48"/>
    </w:rPr>
  </w:style>
  <w:style w:type="character" w:styleId="850">
    <w:name w:val="Подзаголовок Знак"/>
    <w:next w:val="850"/>
    <w:link w:val="783"/>
    <w:uiPriority w:val="11"/>
    <w:rPr>
      <w:sz w:val="24"/>
      <w:szCs w:val="24"/>
    </w:rPr>
  </w:style>
  <w:style w:type="character" w:styleId="851">
    <w:name w:val="Цитата 2 Знак"/>
    <w:next w:val="851"/>
    <w:link w:val="784"/>
    <w:uiPriority w:val="29"/>
    <w:rPr>
      <w:i/>
    </w:rPr>
  </w:style>
  <w:style w:type="character" w:styleId="852">
    <w:name w:val="Выделенная цитата Знак"/>
    <w:next w:val="852"/>
    <w:link w:val="785"/>
    <w:uiPriority w:val="30"/>
    <w:rPr>
      <w:i/>
    </w:rPr>
  </w:style>
  <w:style w:type="character" w:styleId="853">
    <w:name w:val="Header Char"/>
    <w:basedOn w:val="777"/>
    <w:next w:val="853"/>
    <w:link w:val="767"/>
    <w:uiPriority w:val="99"/>
  </w:style>
  <w:style w:type="character" w:styleId="854">
    <w:name w:val="Footer Char"/>
    <w:basedOn w:val="777"/>
    <w:next w:val="854"/>
    <w:link w:val="767"/>
    <w:uiPriority w:val="99"/>
  </w:style>
  <w:style w:type="character" w:styleId="855">
    <w:name w:val="Caption Char"/>
    <w:next w:val="855"/>
    <w:link w:val="767"/>
    <w:uiPriority w:val="99"/>
  </w:style>
  <w:style w:type="table" w:styleId="856">
    <w:name w:val="Table Grid Light"/>
    <w:basedOn w:val="778"/>
    <w:next w:val="856"/>
    <w:link w:val="767"/>
    <w:uiPriority w:val="59"/>
    <w:tblPr/>
  </w:style>
  <w:style w:type="table" w:styleId="857">
    <w:name w:val="Grid Table 1 Light - Accent 1"/>
    <w:basedOn w:val="778"/>
    <w:next w:val="857"/>
    <w:link w:val="767"/>
    <w:uiPriority w:val="99"/>
    <w:tblPr/>
  </w:style>
  <w:style w:type="table" w:styleId="858">
    <w:name w:val="Grid Table 1 Light - Accent 2"/>
    <w:basedOn w:val="778"/>
    <w:next w:val="858"/>
    <w:link w:val="767"/>
    <w:uiPriority w:val="99"/>
    <w:tblPr/>
  </w:style>
  <w:style w:type="table" w:styleId="859">
    <w:name w:val="Grid Table 1 Light - Accent 3"/>
    <w:basedOn w:val="778"/>
    <w:next w:val="859"/>
    <w:link w:val="767"/>
    <w:uiPriority w:val="99"/>
    <w:tblPr/>
  </w:style>
  <w:style w:type="table" w:styleId="860">
    <w:name w:val="Grid Table 1 Light - Accent 4"/>
    <w:basedOn w:val="778"/>
    <w:next w:val="860"/>
    <w:link w:val="767"/>
    <w:uiPriority w:val="99"/>
    <w:tblPr/>
  </w:style>
  <w:style w:type="table" w:styleId="861">
    <w:name w:val="Grid Table 1 Light - Accent 5"/>
    <w:basedOn w:val="778"/>
    <w:next w:val="861"/>
    <w:link w:val="767"/>
    <w:uiPriority w:val="99"/>
    <w:tblPr/>
  </w:style>
  <w:style w:type="table" w:styleId="862">
    <w:name w:val="Grid Table 1 Light - Accent 6"/>
    <w:basedOn w:val="778"/>
    <w:next w:val="862"/>
    <w:link w:val="767"/>
    <w:uiPriority w:val="99"/>
    <w:tblPr/>
  </w:style>
  <w:style w:type="table" w:styleId="863">
    <w:name w:val="Grid Table 2 - Accent 1"/>
    <w:basedOn w:val="778"/>
    <w:next w:val="863"/>
    <w:link w:val="767"/>
    <w:uiPriority w:val="99"/>
    <w:tblPr/>
  </w:style>
  <w:style w:type="table" w:styleId="864">
    <w:name w:val="Grid Table 2 - Accent 2"/>
    <w:basedOn w:val="778"/>
    <w:next w:val="864"/>
    <w:link w:val="767"/>
    <w:uiPriority w:val="99"/>
    <w:tblPr/>
  </w:style>
  <w:style w:type="table" w:styleId="865">
    <w:name w:val="Grid Table 2 - Accent 3"/>
    <w:basedOn w:val="778"/>
    <w:next w:val="865"/>
    <w:link w:val="767"/>
    <w:uiPriority w:val="99"/>
    <w:tblPr/>
  </w:style>
  <w:style w:type="table" w:styleId="866">
    <w:name w:val="Grid Table 2 - Accent 4"/>
    <w:basedOn w:val="778"/>
    <w:next w:val="866"/>
    <w:link w:val="767"/>
    <w:uiPriority w:val="99"/>
    <w:tblPr/>
  </w:style>
  <w:style w:type="table" w:styleId="867">
    <w:name w:val="Grid Table 2 - Accent 5"/>
    <w:basedOn w:val="778"/>
    <w:next w:val="867"/>
    <w:link w:val="767"/>
    <w:uiPriority w:val="99"/>
    <w:tblPr/>
  </w:style>
  <w:style w:type="table" w:styleId="868">
    <w:name w:val="Grid Table 2 - Accent 6"/>
    <w:basedOn w:val="778"/>
    <w:next w:val="868"/>
    <w:link w:val="767"/>
    <w:uiPriority w:val="99"/>
    <w:tblPr/>
  </w:style>
  <w:style w:type="table" w:styleId="869">
    <w:name w:val="Grid Table 3 - Accent 1"/>
    <w:basedOn w:val="778"/>
    <w:next w:val="869"/>
    <w:link w:val="767"/>
    <w:uiPriority w:val="99"/>
    <w:tblPr/>
  </w:style>
  <w:style w:type="table" w:styleId="870">
    <w:name w:val="Grid Table 3 - Accent 2"/>
    <w:basedOn w:val="778"/>
    <w:next w:val="870"/>
    <w:link w:val="767"/>
    <w:uiPriority w:val="99"/>
    <w:tblPr/>
  </w:style>
  <w:style w:type="table" w:styleId="871">
    <w:name w:val="Grid Table 3 - Accent 3"/>
    <w:basedOn w:val="778"/>
    <w:next w:val="871"/>
    <w:link w:val="767"/>
    <w:uiPriority w:val="99"/>
    <w:tblPr/>
  </w:style>
  <w:style w:type="table" w:styleId="872">
    <w:name w:val="Grid Table 3 - Accent 4"/>
    <w:basedOn w:val="778"/>
    <w:next w:val="872"/>
    <w:link w:val="767"/>
    <w:uiPriority w:val="99"/>
    <w:tblPr/>
  </w:style>
  <w:style w:type="table" w:styleId="873">
    <w:name w:val="Grid Table 3 - Accent 5"/>
    <w:basedOn w:val="778"/>
    <w:next w:val="873"/>
    <w:link w:val="767"/>
    <w:uiPriority w:val="99"/>
    <w:tblPr/>
  </w:style>
  <w:style w:type="table" w:styleId="874">
    <w:name w:val="Grid Table 3 - Accent 6"/>
    <w:basedOn w:val="778"/>
    <w:next w:val="874"/>
    <w:link w:val="767"/>
    <w:uiPriority w:val="99"/>
    <w:tblPr/>
  </w:style>
  <w:style w:type="table" w:styleId="875">
    <w:name w:val="Grid Table 4 - Accent 1"/>
    <w:basedOn w:val="778"/>
    <w:next w:val="875"/>
    <w:link w:val="767"/>
    <w:uiPriority w:val="59"/>
    <w:tblPr/>
  </w:style>
  <w:style w:type="table" w:styleId="876">
    <w:name w:val="Grid Table 4 - Accent 2"/>
    <w:basedOn w:val="778"/>
    <w:next w:val="876"/>
    <w:link w:val="767"/>
    <w:uiPriority w:val="59"/>
    <w:tblPr/>
  </w:style>
  <w:style w:type="table" w:styleId="877">
    <w:name w:val="Grid Table 4 - Accent 3"/>
    <w:basedOn w:val="778"/>
    <w:next w:val="877"/>
    <w:link w:val="767"/>
    <w:uiPriority w:val="59"/>
    <w:tblPr/>
  </w:style>
  <w:style w:type="table" w:styleId="878">
    <w:name w:val="Grid Table 4 - Accent 4"/>
    <w:basedOn w:val="778"/>
    <w:next w:val="878"/>
    <w:link w:val="767"/>
    <w:uiPriority w:val="59"/>
    <w:tblPr/>
  </w:style>
  <w:style w:type="table" w:styleId="879">
    <w:name w:val="Grid Table 4 - Accent 5"/>
    <w:basedOn w:val="778"/>
    <w:next w:val="879"/>
    <w:link w:val="767"/>
    <w:uiPriority w:val="59"/>
    <w:tblPr/>
  </w:style>
  <w:style w:type="table" w:styleId="880">
    <w:name w:val="Grid Table 4 - Accent 6"/>
    <w:basedOn w:val="778"/>
    <w:next w:val="880"/>
    <w:link w:val="767"/>
    <w:uiPriority w:val="59"/>
    <w:tblPr/>
  </w:style>
  <w:style w:type="table" w:styleId="881">
    <w:name w:val="Grid Table 5 Dark- Accent 1"/>
    <w:basedOn w:val="778"/>
    <w:next w:val="881"/>
    <w:link w:val="767"/>
    <w:uiPriority w:val="99"/>
    <w:tblPr/>
  </w:style>
  <w:style w:type="table" w:styleId="882">
    <w:name w:val="Grid Table 5 Dark - Accent 2"/>
    <w:basedOn w:val="778"/>
    <w:next w:val="882"/>
    <w:link w:val="767"/>
    <w:uiPriority w:val="99"/>
    <w:tblPr/>
  </w:style>
  <w:style w:type="table" w:styleId="883">
    <w:name w:val="Grid Table 5 Dark - Accent 3"/>
    <w:basedOn w:val="778"/>
    <w:next w:val="883"/>
    <w:link w:val="767"/>
    <w:uiPriority w:val="99"/>
    <w:tblPr/>
  </w:style>
  <w:style w:type="table" w:styleId="884">
    <w:name w:val="Grid Table 5 Dark- Accent 4"/>
    <w:basedOn w:val="778"/>
    <w:next w:val="884"/>
    <w:link w:val="767"/>
    <w:uiPriority w:val="99"/>
    <w:tblPr/>
  </w:style>
  <w:style w:type="table" w:styleId="885">
    <w:name w:val="Grid Table 5 Dark - Accent 5"/>
    <w:basedOn w:val="778"/>
    <w:next w:val="885"/>
    <w:link w:val="767"/>
    <w:uiPriority w:val="99"/>
    <w:tblPr/>
  </w:style>
  <w:style w:type="table" w:styleId="886">
    <w:name w:val="Grid Table 5 Dark - Accent 6"/>
    <w:basedOn w:val="778"/>
    <w:next w:val="886"/>
    <w:link w:val="767"/>
    <w:uiPriority w:val="99"/>
    <w:tblPr/>
  </w:style>
  <w:style w:type="table" w:styleId="887">
    <w:name w:val="Grid Table 6 Colorful - Accent 1"/>
    <w:basedOn w:val="778"/>
    <w:next w:val="887"/>
    <w:link w:val="767"/>
    <w:uiPriority w:val="99"/>
    <w:tblPr/>
  </w:style>
  <w:style w:type="table" w:styleId="888">
    <w:name w:val="Grid Table 6 Colorful - Accent 2"/>
    <w:basedOn w:val="778"/>
    <w:next w:val="888"/>
    <w:link w:val="767"/>
    <w:uiPriority w:val="99"/>
    <w:tblPr/>
  </w:style>
  <w:style w:type="table" w:styleId="889">
    <w:name w:val="Grid Table 6 Colorful - Accent 3"/>
    <w:basedOn w:val="778"/>
    <w:next w:val="889"/>
    <w:link w:val="767"/>
    <w:uiPriority w:val="99"/>
    <w:tblPr/>
  </w:style>
  <w:style w:type="table" w:styleId="890">
    <w:name w:val="Grid Table 6 Colorful - Accent 4"/>
    <w:basedOn w:val="778"/>
    <w:next w:val="890"/>
    <w:link w:val="767"/>
    <w:uiPriority w:val="99"/>
    <w:tblPr/>
  </w:style>
  <w:style w:type="table" w:styleId="891">
    <w:name w:val="Grid Table 6 Colorful - Accent 5"/>
    <w:basedOn w:val="778"/>
    <w:next w:val="891"/>
    <w:link w:val="767"/>
    <w:uiPriority w:val="99"/>
    <w:tblPr/>
  </w:style>
  <w:style w:type="table" w:styleId="892">
    <w:name w:val="Grid Table 6 Colorful - Accent 6"/>
    <w:basedOn w:val="778"/>
    <w:next w:val="892"/>
    <w:link w:val="767"/>
    <w:uiPriority w:val="99"/>
    <w:tblPr/>
  </w:style>
  <w:style w:type="table" w:styleId="893">
    <w:name w:val="Grid Table 7 Colorful - Accent 1"/>
    <w:basedOn w:val="778"/>
    <w:next w:val="893"/>
    <w:link w:val="767"/>
    <w:uiPriority w:val="99"/>
    <w:tblPr/>
  </w:style>
  <w:style w:type="table" w:styleId="894">
    <w:name w:val="Grid Table 7 Colorful - Accent 2"/>
    <w:basedOn w:val="778"/>
    <w:next w:val="894"/>
    <w:link w:val="767"/>
    <w:uiPriority w:val="99"/>
    <w:tblPr/>
  </w:style>
  <w:style w:type="table" w:styleId="895">
    <w:name w:val="Grid Table 7 Colorful - Accent 3"/>
    <w:basedOn w:val="778"/>
    <w:next w:val="895"/>
    <w:link w:val="767"/>
    <w:uiPriority w:val="99"/>
    <w:tblPr/>
  </w:style>
  <w:style w:type="table" w:styleId="896">
    <w:name w:val="Grid Table 7 Colorful - Accent 4"/>
    <w:basedOn w:val="778"/>
    <w:next w:val="896"/>
    <w:link w:val="767"/>
    <w:uiPriority w:val="99"/>
    <w:tblPr/>
  </w:style>
  <w:style w:type="table" w:styleId="897">
    <w:name w:val="Grid Table 7 Colorful - Accent 5"/>
    <w:basedOn w:val="778"/>
    <w:next w:val="897"/>
    <w:link w:val="767"/>
    <w:uiPriority w:val="99"/>
    <w:tblPr/>
  </w:style>
  <w:style w:type="table" w:styleId="898">
    <w:name w:val="Grid Table 7 Colorful - Accent 6"/>
    <w:basedOn w:val="778"/>
    <w:next w:val="898"/>
    <w:link w:val="767"/>
    <w:uiPriority w:val="99"/>
    <w:tblPr/>
  </w:style>
  <w:style w:type="table" w:styleId="899">
    <w:name w:val="List Table 1 Light - Accent 1"/>
    <w:basedOn w:val="778"/>
    <w:next w:val="899"/>
    <w:link w:val="767"/>
    <w:uiPriority w:val="99"/>
    <w:tblPr/>
  </w:style>
  <w:style w:type="table" w:styleId="900">
    <w:name w:val="List Table 1 Light - Accent 2"/>
    <w:basedOn w:val="778"/>
    <w:next w:val="900"/>
    <w:link w:val="767"/>
    <w:uiPriority w:val="99"/>
    <w:tblPr/>
  </w:style>
  <w:style w:type="table" w:styleId="901">
    <w:name w:val="List Table 1 Light - Accent 3"/>
    <w:basedOn w:val="778"/>
    <w:next w:val="901"/>
    <w:link w:val="767"/>
    <w:uiPriority w:val="99"/>
    <w:tblPr/>
  </w:style>
  <w:style w:type="table" w:styleId="902">
    <w:name w:val="List Table 1 Light - Accent 4"/>
    <w:basedOn w:val="778"/>
    <w:next w:val="902"/>
    <w:link w:val="767"/>
    <w:uiPriority w:val="99"/>
    <w:tblPr/>
  </w:style>
  <w:style w:type="table" w:styleId="903">
    <w:name w:val="List Table 1 Light - Accent 5"/>
    <w:basedOn w:val="778"/>
    <w:next w:val="903"/>
    <w:link w:val="767"/>
    <w:uiPriority w:val="99"/>
    <w:tblPr/>
  </w:style>
  <w:style w:type="table" w:styleId="904">
    <w:name w:val="List Table 1 Light - Accent 6"/>
    <w:basedOn w:val="778"/>
    <w:next w:val="904"/>
    <w:link w:val="767"/>
    <w:uiPriority w:val="99"/>
    <w:tblPr/>
  </w:style>
  <w:style w:type="table" w:styleId="905">
    <w:name w:val="List Table 2 - Accent 1"/>
    <w:basedOn w:val="778"/>
    <w:next w:val="905"/>
    <w:link w:val="980"/>
    <w:uiPriority w:val="99"/>
    <w:tblPr/>
  </w:style>
  <w:style w:type="table" w:styleId="906">
    <w:name w:val="List Table 2 - Accent 2"/>
    <w:basedOn w:val="778"/>
    <w:next w:val="906"/>
    <w:link w:val="767"/>
    <w:uiPriority w:val="99"/>
    <w:tblPr/>
  </w:style>
  <w:style w:type="table" w:styleId="907">
    <w:name w:val="List Table 2 - Accent 3"/>
    <w:basedOn w:val="778"/>
    <w:next w:val="907"/>
    <w:link w:val="767"/>
    <w:uiPriority w:val="99"/>
    <w:tblPr/>
  </w:style>
  <w:style w:type="table" w:styleId="908">
    <w:name w:val="List Table 2 - Accent 4"/>
    <w:basedOn w:val="778"/>
    <w:next w:val="908"/>
    <w:link w:val="767"/>
    <w:uiPriority w:val="99"/>
    <w:tblPr/>
  </w:style>
  <w:style w:type="table" w:styleId="909">
    <w:name w:val="List Table 2 - Accent 5"/>
    <w:basedOn w:val="778"/>
    <w:next w:val="909"/>
    <w:link w:val="767"/>
    <w:uiPriority w:val="99"/>
    <w:tblPr/>
  </w:style>
  <w:style w:type="table" w:styleId="910">
    <w:name w:val="List Table 2 - Accent 6"/>
    <w:basedOn w:val="778"/>
    <w:next w:val="910"/>
    <w:link w:val="767"/>
    <w:uiPriority w:val="99"/>
    <w:tblPr/>
  </w:style>
  <w:style w:type="table" w:styleId="911">
    <w:name w:val="List Table 3 - Accent 1"/>
    <w:basedOn w:val="778"/>
    <w:next w:val="911"/>
    <w:link w:val="767"/>
    <w:uiPriority w:val="99"/>
    <w:tblPr/>
  </w:style>
  <w:style w:type="table" w:styleId="912">
    <w:name w:val="List Table 3 - Accent 2"/>
    <w:basedOn w:val="778"/>
    <w:next w:val="912"/>
    <w:link w:val="767"/>
    <w:uiPriority w:val="99"/>
    <w:tblPr/>
  </w:style>
  <w:style w:type="table" w:styleId="913">
    <w:name w:val="List Table 3 - Accent 3"/>
    <w:basedOn w:val="778"/>
    <w:next w:val="913"/>
    <w:link w:val="767"/>
    <w:uiPriority w:val="99"/>
    <w:tblPr/>
  </w:style>
  <w:style w:type="table" w:styleId="914">
    <w:name w:val="List Table 3 - Accent 4"/>
    <w:basedOn w:val="778"/>
    <w:next w:val="914"/>
    <w:link w:val="767"/>
    <w:uiPriority w:val="99"/>
    <w:tblPr/>
  </w:style>
  <w:style w:type="table" w:styleId="915">
    <w:name w:val="List Table 3 - Accent 5"/>
    <w:basedOn w:val="778"/>
    <w:next w:val="915"/>
    <w:link w:val="767"/>
    <w:uiPriority w:val="99"/>
    <w:tblPr/>
  </w:style>
  <w:style w:type="table" w:styleId="916">
    <w:name w:val="List Table 3 - Accent 6"/>
    <w:basedOn w:val="778"/>
    <w:next w:val="916"/>
    <w:link w:val="767"/>
    <w:uiPriority w:val="99"/>
    <w:tblPr/>
  </w:style>
  <w:style w:type="table" w:styleId="917">
    <w:name w:val="List Table 4 - Accent 1"/>
    <w:basedOn w:val="778"/>
    <w:next w:val="917"/>
    <w:link w:val="767"/>
    <w:uiPriority w:val="99"/>
    <w:tblPr/>
  </w:style>
  <w:style w:type="table" w:styleId="918">
    <w:name w:val="List Table 4 - Accent 2"/>
    <w:basedOn w:val="778"/>
    <w:next w:val="918"/>
    <w:link w:val="767"/>
    <w:uiPriority w:val="99"/>
    <w:tblPr/>
  </w:style>
  <w:style w:type="table" w:styleId="919">
    <w:name w:val="List Table 4 - Accent 3"/>
    <w:basedOn w:val="778"/>
    <w:next w:val="919"/>
    <w:link w:val="767"/>
    <w:uiPriority w:val="99"/>
    <w:tblPr/>
  </w:style>
  <w:style w:type="table" w:styleId="920">
    <w:name w:val="List Table 4 - Accent 4"/>
    <w:basedOn w:val="778"/>
    <w:next w:val="920"/>
    <w:link w:val="767"/>
    <w:uiPriority w:val="99"/>
    <w:tblPr/>
  </w:style>
  <w:style w:type="table" w:styleId="921">
    <w:name w:val="List Table 4 - Accent 5"/>
    <w:basedOn w:val="778"/>
    <w:next w:val="921"/>
    <w:link w:val="767"/>
    <w:uiPriority w:val="99"/>
    <w:tblPr/>
  </w:style>
  <w:style w:type="table" w:styleId="922">
    <w:name w:val="List Table 4 - Accent 6"/>
    <w:basedOn w:val="778"/>
    <w:next w:val="922"/>
    <w:link w:val="767"/>
    <w:uiPriority w:val="99"/>
    <w:tblPr/>
  </w:style>
  <w:style w:type="table" w:styleId="923">
    <w:name w:val="List Table 5 Dark - Accent 1"/>
    <w:basedOn w:val="778"/>
    <w:next w:val="923"/>
    <w:link w:val="767"/>
    <w:uiPriority w:val="99"/>
    <w:tblPr/>
  </w:style>
  <w:style w:type="table" w:styleId="924">
    <w:name w:val="List Table 5 Dark - Accent 2"/>
    <w:basedOn w:val="778"/>
    <w:next w:val="924"/>
    <w:link w:val="767"/>
    <w:uiPriority w:val="99"/>
    <w:tblPr/>
  </w:style>
  <w:style w:type="table" w:styleId="925">
    <w:name w:val="List Table 5 Dark - Accent 3"/>
    <w:basedOn w:val="778"/>
    <w:next w:val="925"/>
    <w:link w:val="767"/>
    <w:uiPriority w:val="99"/>
    <w:tblPr/>
  </w:style>
  <w:style w:type="table" w:styleId="926">
    <w:name w:val="List Table 5 Dark - Accent 4"/>
    <w:basedOn w:val="778"/>
    <w:next w:val="926"/>
    <w:link w:val="767"/>
    <w:uiPriority w:val="99"/>
    <w:tblPr/>
  </w:style>
  <w:style w:type="table" w:styleId="927">
    <w:name w:val="List Table 5 Dark - Accent 5"/>
    <w:basedOn w:val="778"/>
    <w:next w:val="927"/>
    <w:link w:val="767"/>
    <w:uiPriority w:val="99"/>
    <w:tblPr/>
  </w:style>
  <w:style w:type="table" w:styleId="928">
    <w:name w:val="List Table 5 Dark - Accent 6"/>
    <w:basedOn w:val="778"/>
    <w:next w:val="928"/>
    <w:link w:val="767"/>
    <w:uiPriority w:val="99"/>
    <w:tblPr/>
  </w:style>
  <w:style w:type="table" w:styleId="929">
    <w:name w:val="List Table 6 Colorful - Accent 1"/>
    <w:basedOn w:val="778"/>
    <w:next w:val="929"/>
    <w:link w:val="767"/>
    <w:uiPriority w:val="99"/>
    <w:tblPr/>
  </w:style>
  <w:style w:type="table" w:styleId="930">
    <w:name w:val="List Table 6 Colorful - Accent 2"/>
    <w:basedOn w:val="778"/>
    <w:next w:val="930"/>
    <w:link w:val="767"/>
    <w:uiPriority w:val="99"/>
    <w:tblPr/>
  </w:style>
  <w:style w:type="table" w:styleId="931">
    <w:name w:val="List Table 6 Colorful - Accent 3"/>
    <w:basedOn w:val="778"/>
    <w:next w:val="931"/>
    <w:link w:val="767"/>
    <w:uiPriority w:val="99"/>
    <w:tblPr/>
  </w:style>
  <w:style w:type="table" w:styleId="932">
    <w:name w:val="List Table 6 Colorful - Accent 4"/>
    <w:basedOn w:val="778"/>
    <w:next w:val="932"/>
    <w:link w:val="767"/>
    <w:uiPriority w:val="99"/>
    <w:tblPr/>
  </w:style>
  <w:style w:type="table" w:styleId="933">
    <w:name w:val="List Table 6 Colorful - Accent 5"/>
    <w:basedOn w:val="778"/>
    <w:next w:val="933"/>
    <w:link w:val="767"/>
    <w:uiPriority w:val="99"/>
    <w:tblPr/>
  </w:style>
  <w:style w:type="table" w:styleId="934">
    <w:name w:val="List Table 6 Colorful - Accent 6"/>
    <w:basedOn w:val="778"/>
    <w:next w:val="934"/>
    <w:link w:val="767"/>
    <w:uiPriority w:val="99"/>
    <w:tblPr/>
  </w:style>
  <w:style w:type="table" w:styleId="935">
    <w:name w:val="List Table 7 Colorful - Accent 1"/>
    <w:basedOn w:val="778"/>
    <w:next w:val="935"/>
    <w:link w:val="767"/>
    <w:uiPriority w:val="99"/>
    <w:tblPr/>
  </w:style>
  <w:style w:type="table" w:styleId="936">
    <w:name w:val="List Table 7 Colorful - Accent 2"/>
    <w:basedOn w:val="778"/>
    <w:next w:val="936"/>
    <w:link w:val="767"/>
    <w:uiPriority w:val="99"/>
    <w:tblPr/>
  </w:style>
  <w:style w:type="table" w:styleId="937">
    <w:name w:val="List Table 7 Colorful - Accent 3"/>
    <w:basedOn w:val="778"/>
    <w:next w:val="937"/>
    <w:link w:val="767"/>
    <w:uiPriority w:val="99"/>
    <w:tblPr/>
  </w:style>
  <w:style w:type="table" w:styleId="938">
    <w:name w:val="List Table 7 Colorful - Accent 4"/>
    <w:basedOn w:val="778"/>
    <w:next w:val="938"/>
    <w:link w:val="767"/>
    <w:uiPriority w:val="99"/>
    <w:tblPr/>
  </w:style>
  <w:style w:type="table" w:styleId="939">
    <w:name w:val="List Table 7 Colorful - Accent 5"/>
    <w:basedOn w:val="778"/>
    <w:next w:val="939"/>
    <w:link w:val="767"/>
    <w:uiPriority w:val="99"/>
    <w:tblPr/>
  </w:style>
  <w:style w:type="table" w:styleId="940">
    <w:name w:val="List Table 7 Colorful - Accent 6"/>
    <w:basedOn w:val="778"/>
    <w:next w:val="940"/>
    <w:link w:val="767"/>
    <w:uiPriority w:val="99"/>
    <w:tblPr/>
  </w:style>
  <w:style w:type="table" w:styleId="941">
    <w:name w:val="Lined - Accent"/>
    <w:basedOn w:val="778"/>
    <w:next w:val="941"/>
    <w:link w:val="767"/>
    <w:uiPriority w:val="99"/>
    <w:rPr>
      <w:color w:val="404040"/>
    </w:rPr>
    <w:tblPr/>
  </w:style>
  <w:style w:type="table" w:styleId="942">
    <w:name w:val="Lined - Accent 1"/>
    <w:basedOn w:val="778"/>
    <w:next w:val="942"/>
    <w:link w:val="767"/>
    <w:uiPriority w:val="99"/>
    <w:rPr>
      <w:color w:val="404040"/>
    </w:rPr>
    <w:tblPr/>
  </w:style>
  <w:style w:type="table" w:styleId="943">
    <w:name w:val="Lined - Accent 2"/>
    <w:basedOn w:val="778"/>
    <w:next w:val="943"/>
    <w:link w:val="767"/>
    <w:uiPriority w:val="99"/>
    <w:rPr>
      <w:color w:val="404040"/>
    </w:rPr>
    <w:tblPr/>
  </w:style>
  <w:style w:type="table" w:styleId="944">
    <w:name w:val="Lined - Accent 3"/>
    <w:basedOn w:val="778"/>
    <w:next w:val="944"/>
    <w:link w:val="767"/>
    <w:uiPriority w:val="99"/>
    <w:rPr>
      <w:color w:val="404040"/>
    </w:rPr>
    <w:tblPr/>
  </w:style>
  <w:style w:type="table" w:styleId="945">
    <w:name w:val="Lined - Accent 4"/>
    <w:basedOn w:val="778"/>
    <w:next w:val="945"/>
    <w:link w:val="767"/>
    <w:uiPriority w:val="99"/>
    <w:rPr>
      <w:color w:val="404040"/>
    </w:rPr>
    <w:tblPr/>
  </w:style>
  <w:style w:type="table" w:styleId="946">
    <w:name w:val="Lined - Accent 5"/>
    <w:basedOn w:val="778"/>
    <w:next w:val="946"/>
    <w:link w:val="767"/>
    <w:uiPriority w:val="99"/>
    <w:rPr>
      <w:color w:val="404040"/>
    </w:rPr>
    <w:tblPr/>
  </w:style>
  <w:style w:type="table" w:styleId="947">
    <w:name w:val="Lined - Accent 6"/>
    <w:basedOn w:val="778"/>
    <w:next w:val="947"/>
    <w:link w:val="767"/>
    <w:uiPriority w:val="99"/>
    <w:rPr>
      <w:color w:val="404040"/>
    </w:rPr>
    <w:tblPr/>
  </w:style>
  <w:style w:type="table" w:styleId="948">
    <w:name w:val="Bordered &amp; Lined - Accent"/>
    <w:basedOn w:val="778"/>
    <w:next w:val="948"/>
    <w:link w:val="767"/>
    <w:uiPriority w:val="99"/>
    <w:rPr>
      <w:color w:val="404040"/>
    </w:rPr>
    <w:tblPr/>
  </w:style>
  <w:style w:type="table" w:styleId="949">
    <w:name w:val="Bordered &amp; Lined - Accent 1"/>
    <w:basedOn w:val="778"/>
    <w:next w:val="949"/>
    <w:link w:val="767"/>
    <w:uiPriority w:val="99"/>
    <w:rPr>
      <w:color w:val="404040"/>
    </w:rPr>
    <w:tblPr/>
  </w:style>
  <w:style w:type="table" w:styleId="950">
    <w:name w:val="Bordered &amp; Lined - Accent 2"/>
    <w:basedOn w:val="778"/>
    <w:next w:val="950"/>
    <w:link w:val="767"/>
    <w:uiPriority w:val="99"/>
    <w:rPr>
      <w:color w:val="404040"/>
    </w:rPr>
    <w:tblPr/>
  </w:style>
  <w:style w:type="table" w:styleId="951">
    <w:name w:val="Bordered &amp; Lined - Accent 3"/>
    <w:basedOn w:val="778"/>
    <w:next w:val="951"/>
    <w:link w:val="767"/>
    <w:uiPriority w:val="99"/>
    <w:rPr>
      <w:color w:val="404040"/>
    </w:rPr>
    <w:tblPr/>
  </w:style>
  <w:style w:type="table" w:styleId="952">
    <w:name w:val="Bordered &amp; Lined - Accent 4"/>
    <w:basedOn w:val="778"/>
    <w:next w:val="952"/>
    <w:link w:val="767"/>
    <w:uiPriority w:val="99"/>
    <w:rPr>
      <w:color w:val="404040"/>
    </w:rPr>
    <w:tblPr/>
  </w:style>
  <w:style w:type="table" w:styleId="953">
    <w:name w:val="Bordered &amp; Lined - Accent 5"/>
    <w:basedOn w:val="778"/>
    <w:next w:val="953"/>
    <w:link w:val="767"/>
    <w:uiPriority w:val="99"/>
    <w:rPr>
      <w:color w:val="404040"/>
    </w:rPr>
    <w:tblPr/>
  </w:style>
  <w:style w:type="table" w:styleId="954">
    <w:name w:val="Bordered &amp; Lined - Accent 6"/>
    <w:basedOn w:val="778"/>
    <w:next w:val="954"/>
    <w:link w:val="767"/>
    <w:uiPriority w:val="99"/>
    <w:rPr>
      <w:color w:val="404040"/>
    </w:rPr>
    <w:tblPr/>
  </w:style>
  <w:style w:type="table" w:styleId="955">
    <w:name w:val="Bordered"/>
    <w:basedOn w:val="778"/>
    <w:next w:val="955"/>
    <w:link w:val="767"/>
    <w:uiPriority w:val="99"/>
    <w:tblPr/>
  </w:style>
  <w:style w:type="table" w:styleId="956">
    <w:name w:val="Bordered - Accent 1"/>
    <w:basedOn w:val="778"/>
    <w:next w:val="956"/>
    <w:link w:val="767"/>
    <w:uiPriority w:val="99"/>
    <w:tblPr/>
  </w:style>
  <w:style w:type="table" w:styleId="957">
    <w:name w:val="Bordered - Accent 2"/>
    <w:basedOn w:val="778"/>
    <w:next w:val="957"/>
    <w:link w:val="767"/>
    <w:uiPriority w:val="99"/>
    <w:tblPr/>
  </w:style>
  <w:style w:type="table" w:styleId="958">
    <w:name w:val="Bordered - Accent 3"/>
    <w:basedOn w:val="778"/>
    <w:next w:val="958"/>
    <w:link w:val="767"/>
    <w:uiPriority w:val="99"/>
    <w:tblPr/>
  </w:style>
  <w:style w:type="table" w:styleId="959">
    <w:name w:val="Bordered - Accent 4"/>
    <w:basedOn w:val="778"/>
    <w:next w:val="959"/>
    <w:link w:val="767"/>
    <w:uiPriority w:val="99"/>
    <w:tblPr/>
  </w:style>
  <w:style w:type="table" w:styleId="960">
    <w:name w:val="Bordered - Accent 5"/>
    <w:basedOn w:val="778"/>
    <w:next w:val="960"/>
    <w:link w:val="767"/>
    <w:uiPriority w:val="99"/>
    <w:tblPr/>
  </w:style>
  <w:style w:type="table" w:styleId="961">
    <w:name w:val="Bordered - Accent 6"/>
    <w:basedOn w:val="778"/>
    <w:next w:val="961"/>
    <w:link w:val="767"/>
    <w:uiPriority w:val="99"/>
    <w:tblPr/>
  </w:style>
  <w:style w:type="character" w:styleId="962">
    <w:name w:val="Текст сноски Знак"/>
    <w:next w:val="962"/>
    <w:link w:val="810"/>
    <w:uiPriority w:val="99"/>
    <w:rPr>
      <w:sz w:val="18"/>
    </w:rPr>
  </w:style>
  <w:style w:type="character" w:styleId="963">
    <w:name w:val="Текст концевой сноски Знак"/>
    <w:next w:val="963"/>
    <w:link w:val="812"/>
    <w:uiPriority w:val="99"/>
    <w:rPr>
      <w:sz w:val="20"/>
    </w:rPr>
  </w:style>
  <w:style w:type="character" w:styleId="964">
    <w:name w:val="Верхний колонтитул Знак"/>
    <w:next w:val="964"/>
    <w:link w:val="78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5">
    <w:name w:val="Нижний колонтитул Знак"/>
    <w:next w:val="965"/>
    <w:link w:val="78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6">
    <w:name w:val="ConsPlusNormal"/>
    <w:next w:val="966"/>
    <w:link w:val="767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967">
    <w:name w:val="ConsPlusNonformat"/>
    <w:next w:val="967"/>
    <w:link w:val="767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68">
    <w:name w:val="Font Style23"/>
    <w:next w:val="968"/>
    <w:link w:val="767"/>
    <w:uiPriority w:val="99"/>
    <w:rPr>
      <w:rFonts w:ascii="Times New Roman" w:hAnsi="Times New Roman" w:cs="Times New Roman"/>
      <w:sz w:val="26"/>
      <w:szCs w:val="26"/>
    </w:rPr>
  </w:style>
  <w:style w:type="character" w:styleId="969">
    <w:name w:val="Знак примечания"/>
    <w:next w:val="969"/>
    <w:link w:val="767"/>
    <w:uiPriority w:val="99"/>
    <w:semiHidden/>
    <w:unhideWhenUsed/>
    <w:rPr>
      <w:sz w:val="16"/>
      <w:szCs w:val="16"/>
    </w:rPr>
  </w:style>
  <w:style w:type="paragraph" w:styleId="970">
    <w:name w:val="Текст примечания"/>
    <w:basedOn w:val="767"/>
    <w:next w:val="970"/>
    <w:link w:val="971"/>
    <w:uiPriority w:val="99"/>
    <w:semiHidden/>
    <w:unhideWhenUsed/>
    <w:rPr>
      <w:sz w:val="20"/>
    </w:rPr>
  </w:style>
  <w:style w:type="character" w:styleId="971">
    <w:name w:val="Текст примечания Знак"/>
    <w:next w:val="971"/>
    <w:link w:val="97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2">
    <w:name w:val="Тема примечания"/>
    <w:basedOn w:val="970"/>
    <w:next w:val="970"/>
    <w:link w:val="973"/>
    <w:uiPriority w:val="99"/>
    <w:semiHidden/>
    <w:unhideWhenUsed/>
    <w:rPr>
      <w:b/>
      <w:bCs/>
    </w:rPr>
  </w:style>
  <w:style w:type="character" w:styleId="973">
    <w:name w:val="Тема примечания Знак"/>
    <w:next w:val="973"/>
    <w:link w:val="972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74">
    <w:name w:val="Текст выноски"/>
    <w:basedOn w:val="767"/>
    <w:next w:val="974"/>
    <w:link w:val="97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75">
    <w:name w:val="Текст выноски Знак"/>
    <w:next w:val="975"/>
    <w:link w:val="97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76">
    <w:name w:val="Style9"/>
    <w:basedOn w:val="767"/>
    <w:next w:val="976"/>
    <w:link w:val="767"/>
    <w:uiPriority w:val="99"/>
    <w:pPr>
      <w:spacing w:line="324" w:lineRule="exact"/>
      <w:widowControl w:val="off"/>
    </w:pPr>
    <w:rPr>
      <w:sz w:val="24"/>
      <w:szCs w:val="24"/>
    </w:rPr>
  </w:style>
  <w:style w:type="paragraph" w:styleId="977">
    <w:name w:val="Рецензия"/>
    <w:next w:val="977"/>
    <w:link w:val="767"/>
    <w:hidden/>
    <w:uiPriority w:val="99"/>
    <w:semiHidden/>
    <w:rPr>
      <w:rFonts w:ascii="Times New Roman" w:hAnsi="Times New Roman" w:eastAsia="Times New Roman"/>
      <w:sz w:val="28"/>
      <w:lang w:val="ru-RU" w:eastAsia="ru-RU" w:bidi="ar-SA"/>
    </w:rPr>
  </w:style>
  <w:style w:type="paragraph" w:styleId="978">
    <w:name w:val="ConsPlusTitle"/>
    <w:next w:val="978"/>
    <w:link w:val="767"/>
    <w:pPr>
      <w:widowControl w:val="off"/>
    </w:pPr>
    <w:rPr>
      <w:rFonts w:eastAsia="Arial" w:cs="Calibri"/>
      <w:b/>
      <w:sz w:val="22"/>
      <w:szCs w:val="22"/>
      <w:lang w:val="ru-RU" w:eastAsia="ru-RU" w:bidi="ar-SA"/>
    </w:rPr>
  </w:style>
  <w:style w:type="paragraph" w:styleId="979">
    <w:name w:val="Без интервала1"/>
    <w:next w:val="979"/>
    <w:link w:val="767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2"/>
      <w:szCs w:val="22"/>
      <w:lang w:val="ru-RU" w:eastAsia="ru-RU" w:bidi="ar-SA"/>
    </w:rPr>
  </w:style>
  <w:style w:type="paragraph" w:styleId="980">
    <w:name w:val="Нижний колонтитул1"/>
    <w:next w:val="980"/>
    <w:link w:val="905"/>
    <w:pPr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81" w:default="1">
    <w:name w:val="Default Paragraph Font"/>
    <w:uiPriority w:val="1"/>
    <w:semiHidden/>
    <w:unhideWhenUsed/>
  </w:style>
  <w:style w:type="numbering" w:styleId="982" w:default="1">
    <w:name w:val="No List"/>
    <w:uiPriority w:val="99"/>
    <w:semiHidden/>
    <w:unhideWhenUsed/>
  </w:style>
  <w:style w:type="table" w:styleId="9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internet.garant.ru/#/document/409221968/entry/2210" TargetMode="External"/><Relationship Id="rId12" Type="http://schemas.openxmlformats.org/officeDocument/2006/relationships/hyperlink" Target="https://internet.garant.ru/#/document/409221968/entry/2210" TargetMode="External"/><Relationship Id="rId13" Type="http://schemas.openxmlformats.org/officeDocument/2006/relationships/hyperlink" Target="https://internet.garant.ru/#/document/409221968/entry/2204" TargetMode="External"/><Relationship Id="rId14" Type="http://schemas.openxmlformats.org/officeDocument/2006/relationships/hyperlink" Target="https://internet.garant.ru/#/document/10102673/entry/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revision>11</cp:revision>
  <dcterms:created xsi:type="dcterms:W3CDTF">2025-01-29T06:27:00Z</dcterms:created>
  <dcterms:modified xsi:type="dcterms:W3CDTF">2025-08-29T07:45:20Z</dcterms:modified>
  <cp:version>1048576</cp:version>
</cp:coreProperties>
</file>