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>
      <w:pPr>
        <w:pStyle w:val="Normal"/>
        <w:widowControl w:val="false"/>
        <w:autoSpaceDE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</w:t>
      </w:r>
    </w:p>
    <w:p>
      <w:pPr>
        <w:pStyle w:val="Normal"/>
        <w:widowControl w:val="false"/>
        <w:autoSpaceDE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комитет по делам архивов Нижегородской области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регулирующего органа)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Правительства Нижегородской области 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</w:t>
      </w:r>
    </w:p>
    <w:p>
      <w:pPr>
        <w:pStyle w:val="Normal"/>
        <w:widowControl w:val="false"/>
        <w:autoSpaceDE w:val="false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от 21 сентября 2021 г. № 834»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>1. Срок проведения публич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ных консультаций:</w:t>
      </w:r>
    </w:p>
    <w:p>
      <w:pPr>
        <w:pStyle w:val="Normal"/>
        <w:widowControl w:val="false"/>
        <w:spacing w:lineRule="auto" w:line="240"/>
        <w:ind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«25» марта 2024 года – «8» апреля 2024 года.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>2. Проведенные формы публичных консультаций:</w:t>
      </w:r>
    </w:p>
    <w:tbl>
      <w:tblPr>
        <w:tblW w:w="9781" w:type="dxa"/>
        <w:jc w:val="start"/>
        <w:tblInd w:w="75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600"/>
        <w:gridCol w:w="4440"/>
        <w:gridCol w:w="2331"/>
        <w:gridCol w:w="2410"/>
      </w:tblGrid>
      <w:tr>
        <w:trPr>
          <w:trHeight w:val="400" w:hRule="atLeast"/>
        </w:trPr>
        <w:tc>
          <w:tcPr>
            <w:tcW w:w="6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rFonts w:eastAsia="Calibri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autoSpaceDE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формы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публичных консультаций</w:t>
            </w:r>
          </w:p>
        </w:tc>
        <w:tc>
          <w:tcPr>
            <w:tcW w:w="233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</w:tr>
      <w:tr>
        <w:trPr/>
        <w:tc>
          <w:tcPr>
            <w:tcW w:w="6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2331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08.04.2024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24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pStyle w:val="Normal"/>
        <w:widowControl w:val="false"/>
        <w:autoSpaceDE w:val="false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0" w:name="Par192"/>
      <w:bookmarkStart w:id="1" w:name="Par177"/>
      <w:bookmarkStart w:id="2" w:name="Par192"/>
      <w:bookmarkStart w:id="3" w:name="Par177"/>
      <w:bookmarkEnd w:id="2"/>
      <w:bookmarkEnd w:id="3"/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>Список участников публичных консультаций:</w:t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Жела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ющих участвовать в проведении публичных консультаций по проекту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от 21 сентября 2021 г. № 834» от физических лиц, индивидуальных предпринимателей, юридических лиц, в том числе органов государственной власти и иных государственных органов Нижегородской области, органов местного самоуправления муниципальных образований Нижегородской области и должностных лиц органов местного самоуправления муниципальных образований Нижегородской области, государственных, муниципальных организаций и учреждений, негосударственных организаций, которые выступают источниками комплектования государственных и муниципальных архивов Нижегородской области архивными документами и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 Нижегородской области, а также от других организаций  не было.</w:t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>4. Свод замечаний и предложений по результатам публичных консультаций</w:t>
      </w:r>
    </w:p>
    <w:tbl>
      <w:tblPr>
        <w:tblW w:w="9781" w:type="dxa"/>
        <w:jc w:val="start"/>
        <w:tblInd w:w="75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600"/>
        <w:gridCol w:w="3511"/>
        <w:gridCol w:w="3260"/>
        <w:gridCol w:w="2410"/>
      </w:tblGrid>
      <w:tr>
        <w:trPr>
          <w:trHeight w:val="400" w:hRule="atLeast"/>
        </w:trPr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(позиция) регулирующего органа</w:t>
            </w:r>
          </w:p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(или) предложения </w:t>
            </w:r>
            <w:r>
              <w:rPr>
                <w:sz w:val="24"/>
                <w:szCs w:val="24"/>
              </w:rPr>
              <w:t>не поступали.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 xml:space="preserve">комитета по делам архивов </w:t>
      </w:r>
    </w:p>
    <w:p>
      <w:pPr>
        <w:pStyle w:val="Normal"/>
        <w:widowControl w:val="false"/>
        <w:autoSpaceDE w:val="false"/>
        <w:rPr>
          <w:sz w:val="24"/>
          <w:szCs w:val="24"/>
        </w:rPr>
      </w:pPr>
      <w:r>
        <w:rPr>
          <w:sz w:val="24"/>
          <w:szCs w:val="24"/>
        </w:rPr>
        <w:t>Нижегородской области</w:t>
      </w:r>
      <w:r>
        <w:rPr>
          <w:sz w:val="24"/>
          <w:szCs w:val="24"/>
        </w:rPr>
        <w:tab/>
        <w:tab/>
        <w:tab/>
        <w:t xml:space="preserve">                                                                </w:t>
      </w:r>
      <w:r>
        <w:rPr>
          <w:sz w:val="24"/>
          <w:szCs w:val="24"/>
        </w:rPr>
        <w:t>Б.М.Пудалов</w:t>
      </w:r>
    </w:p>
    <w:sectPr>
      <w:type w:val="nextPage"/>
      <w:pgSz w:w="11906" w:h="16838"/>
      <w:pgMar w:left="1620" w:right="566" w:gutter="0" w:header="0" w:top="899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Open Sans"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Style12">
    <w:name w:val="Основной шрифт абзаца"/>
    <w:qFormat/>
    <w:rPr/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1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31">
    <w:name w:val="Style13"/>
    <w:basedOn w:val="Normal"/>
    <w:qFormat/>
    <w:pPr>
      <w:widowControl w:val="false"/>
      <w:autoSpaceDE w:val="false"/>
      <w:spacing w:lineRule="exact" w:line="365"/>
      <w:ind w:firstLine="720" w:start="0" w:end="0"/>
      <w:jc w:val="both"/>
    </w:pPr>
    <w:rPr/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16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LibreOffice/7.6.4.1$Linux_X86_64 LibreOffice_project/60$Build-1</Application>
  <AppVersion>15.0000</AppVersion>
  <Pages>1</Pages>
  <Words>271</Words>
  <Characters>2136</Characters>
  <CharactersWithSpaces>2445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2020-08-17T09:33:00Z</dcterms:created>
  <dc:creator>Дмитрий А. Потехин</dc:creator>
  <dc:description/>
  <cp:keywords/>
  <dc:language>ru-RU</dc:language>
  <cp:lastModifiedBy/>
  <cp:lastPrinted>2021-07-06T12:34:00Z</cp:lastPrinted>
  <dcterms:modified xsi:type="dcterms:W3CDTF">2024-04-08T08:50:37Z</dcterms:modified>
  <cp:revision>16</cp:revision>
  <dc:subject/>
  <dc:title/>
</cp:coreProperties>
</file>